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464E" w14:textId="77777777" w:rsidR="00FC5B01" w:rsidRPr="0077519E" w:rsidRDefault="00FC5B01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7527"/>
      </w:tblGrid>
      <w:tr w:rsidR="0015532A" w:rsidRPr="0077519E" w14:paraId="18D7F75C" w14:textId="77777777" w:rsidTr="0015532A">
        <w:tc>
          <w:tcPr>
            <w:tcW w:w="1526" w:type="dxa"/>
          </w:tcPr>
          <w:p w14:paraId="3BB5EBBD" w14:textId="77777777" w:rsidR="0015532A" w:rsidRPr="0077519E" w:rsidRDefault="0015532A" w:rsidP="00D71699">
            <w:pPr>
              <w:jc w:val="both"/>
              <w:rPr>
                <w:b/>
              </w:rPr>
            </w:pPr>
            <w:r w:rsidRPr="009459AA">
              <w:rPr>
                <w:b/>
              </w:rPr>
              <w:t>Job Title</w:t>
            </w:r>
          </w:p>
        </w:tc>
        <w:tc>
          <w:tcPr>
            <w:tcW w:w="7716" w:type="dxa"/>
          </w:tcPr>
          <w:p w14:paraId="4D217D7D" w14:textId="3071BECA" w:rsidR="0015532A" w:rsidRPr="00FC2880" w:rsidRDefault="00553752" w:rsidP="00D716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Packaging Data </w:t>
            </w:r>
            <w:r w:rsidR="00A51DFC">
              <w:rPr>
                <w:b/>
                <w:sz w:val="28"/>
                <w:szCs w:val="28"/>
              </w:rPr>
              <w:t xml:space="preserve">Senior </w:t>
            </w:r>
            <w:r w:rsidR="00763782">
              <w:rPr>
                <w:b/>
                <w:sz w:val="28"/>
                <w:szCs w:val="28"/>
              </w:rPr>
              <w:t>Specialist (</w:t>
            </w:r>
            <w:r w:rsidR="00A401D5">
              <w:rPr>
                <w:b/>
                <w:sz w:val="28"/>
                <w:szCs w:val="28"/>
              </w:rPr>
              <w:t>EPR)</w:t>
            </w:r>
          </w:p>
        </w:tc>
      </w:tr>
    </w:tbl>
    <w:p w14:paraId="30393AD2" w14:textId="77777777" w:rsidR="0015532A" w:rsidRPr="0077519E" w:rsidRDefault="0015532A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5586"/>
      </w:tblGrid>
      <w:tr w:rsidR="00511527" w:rsidRPr="0077519E" w14:paraId="56293B00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1E925F2F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05A6031" w14:textId="62748A59" w:rsidR="00511527" w:rsidRPr="0077519E" w:rsidRDefault="00A51DFC" w:rsidP="00D71699">
            <w:pPr>
              <w:jc w:val="both"/>
            </w:pPr>
            <w:r>
              <w:t>Head of Engineering and Technical</w:t>
            </w:r>
          </w:p>
        </w:tc>
      </w:tr>
      <w:tr w:rsidR="00511527" w:rsidRPr="0077519E" w14:paraId="5FC20D9F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6C94AF1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34CAE27" w14:textId="3E4EEDB0" w:rsidR="00511527" w:rsidRPr="0077519E" w:rsidRDefault="00553752" w:rsidP="00D71699">
            <w:pPr>
              <w:jc w:val="both"/>
            </w:pPr>
            <w:r>
              <w:t>Operations</w:t>
            </w:r>
          </w:p>
        </w:tc>
      </w:tr>
      <w:tr w:rsidR="00511527" w:rsidRPr="0077519E" w14:paraId="69CA035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3291658E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EF1B56E" w14:textId="42A760B6" w:rsidR="00511527" w:rsidRPr="0077519E" w:rsidRDefault="00553752" w:rsidP="00D71699">
            <w:pPr>
              <w:jc w:val="both"/>
            </w:pPr>
            <w:r>
              <w:t>Technical</w:t>
            </w:r>
          </w:p>
        </w:tc>
      </w:tr>
      <w:tr w:rsidR="00511527" w:rsidRPr="0077519E" w14:paraId="566560E2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5EE29C6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1CC54143" w14:textId="3CE98292" w:rsidR="00511527" w:rsidRPr="0077519E" w:rsidRDefault="00A51DFC" w:rsidP="00D71699">
            <w:pPr>
              <w:jc w:val="both"/>
            </w:pPr>
            <w:r>
              <w:t>E(Professional)</w:t>
            </w:r>
          </w:p>
        </w:tc>
      </w:tr>
      <w:tr w:rsidR="00511527" w:rsidRPr="0077519E" w14:paraId="6683AA1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A42AB20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3AABA91E" w14:textId="203E83DB" w:rsidR="00511527" w:rsidRPr="0077519E" w:rsidRDefault="00790D76" w:rsidP="00D71699">
            <w:pPr>
              <w:jc w:val="both"/>
            </w:pPr>
            <w:r>
              <w:t xml:space="preserve">Ideally </w:t>
            </w:r>
            <w:proofErr w:type="spellStart"/>
            <w:r w:rsidR="00553752">
              <w:t>Wellpark</w:t>
            </w:r>
            <w:proofErr w:type="spellEnd"/>
            <w:r w:rsidR="00A51DFC">
              <w:t xml:space="preserve">, with </w:t>
            </w:r>
            <w:r>
              <w:t>the option of hybrid</w:t>
            </w:r>
            <w:r w:rsidR="00A51DFC">
              <w:t xml:space="preserve"> working possible</w:t>
            </w:r>
          </w:p>
        </w:tc>
      </w:tr>
      <w:tr w:rsidR="00511527" w:rsidRPr="0077519E" w14:paraId="21A8832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421AF37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B4BAFE9" w14:textId="7AB8AA41" w:rsidR="00511527" w:rsidRPr="0077519E" w:rsidRDefault="00A51DFC" w:rsidP="00D71699">
            <w:pPr>
              <w:jc w:val="both"/>
            </w:pPr>
            <w:r>
              <w:t>Travel will be required as appropriate for business need</w:t>
            </w:r>
            <w:r w:rsidR="00812918">
              <w:t xml:space="preserve"> </w:t>
            </w:r>
          </w:p>
        </w:tc>
      </w:tr>
    </w:tbl>
    <w:p w14:paraId="58BCD678" w14:textId="77777777" w:rsidR="00511527" w:rsidRPr="0077519E" w:rsidRDefault="00511527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77519E" w14:paraId="4D5B4B0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5F7CAF3B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Role Summary </w:t>
            </w:r>
          </w:p>
        </w:tc>
      </w:tr>
      <w:tr w:rsidR="00511527" w:rsidRPr="0077519E" w14:paraId="06E01000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5EF3790F" w14:textId="1C5B75E3" w:rsidR="004465C3" w:rsidRDefault="00A51DFC" w:rsidP="00A51DFC">
            <w:pPr>
              <w:pStyle w:val="Header"/>
              <w:widowControl w:val="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This is a critical role in leading the business through the implementation of </w:t>
            </w:r>
            <w:r w:rsidR="001A447E">
              <w:rPr>
                <w:rFonts w:cs="Arial"/>
                <w:lang w:val="en-US"/>
              </w:rPr>
              <w:t>t</w:t>
            </w:r>
            <w:r>
              <w:rPr>
                <w:rFonts w:cs="Arial"/>
                <w:lang w:val="en-US"/>
              </w:rPr>
              <w:t xml:space="preserve">he </w:t>
            </w:r>
            <w:r w:rsidR="00731530" w:rsidRPr="00731530">
              <w:rPr>
                <w:rFonts w:cs="Arial"/>
                <w:lang w:val="en-US"/>
              </w:rPr>
              <w:t xml:space="preserve">Extended Producer Responsibility </w:t>
            </w:r>
            <w:r w:rsidR="00731530">
              <w:rPr>
                <w:rFonts w:cs="Arial"/>
                <w:lang w:val="en-US"/>
              </w:rPr>
              <w:t>(</w:t>
            </w:r>
            <w:r>
              <w:rPr>
                <w:rFonts w:cs="Arial"/>
                <w:lang w:val="en-US"/>
              </w:rPr>
              <w:t>EPR</w:t>
            </w:r>
            <w:r w:rsidR="00731530">
              <w:rPr>
                <w:rFonts w:cs="Arial"/>
                <w:lang w:val="en-US"/>
              </w:rPr>
              <w:t>)</w:t>
            </w:r>
            <w:r>
              <w:rPr>
                <w:rFonts w:cs="Arial"/>
                <w:lang w:val="en-US"/>
              </w:rPr>
              <w:t xml:space="preserve"> framework, establishing, managing and implementing appropriate data processing, </w:t>
            </w:r>
            <w:r w:rsidR="003916B6" w:rsidRPr="003916B6">
              <w:rPr>
                <w:rFonts w:cs="Arial"/>
                <w:lang w:val="en-US"/>
              </w:rPr>
              <w:t>Th</w:t>
            </w:r>
            <w:r w:rsidR="001A447E">
              <w:rPr>
                <w:rFonts w:cs="Arial"/>
                <w:lang w:val="en-US"/>
              </w:rPr>
              <w:t>is</w:t>
            </w:r>
            <w:r w:rsidR="003916B6" w:rsidRPr="003916B6">
              <w:rPr>
                <w:rFonts w:cs="Arial"/>
                <w:lang w:val="en-US"/>
              </w:rPr>
              <w:t xml:space="preserve"> </w:t>
            </w:r>
            <w:r w:rsidR="00553752">
              <w:rPr>
                <w:rFonts w:cs="Arial"/>
                <w:lang w:val="en-US"/>
              </w:rPr>
              <w:t xml:space="preserve">Packaging Data </w:t>
            </w:r>
            <w:r>
              <w:rPr>
                <w:rFonts w:cs="Arial"/>
                <w:lang w:val="en-US"/>
              </w:rPr>
              <w:t xml:space="preserve">Senior </w:t>
            </w:r>
            <w:r w:rsidR="00553752">
              <w:rPr>
                <w:rFonts w:cs="Arial"/>
                <w:lang w:val="en-US"/>
              </w:rPr>
              <w:t>Specialist</w:t>
            </w:r>
            <w:r w:rsidR="00DB2370" w:rsidRPr="00DB2370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will be </w:t>
            </w:r>
            <w:r w:rsidR="00553752" w:rsidRPr="00DB2370">
              <w:rPr>
                <w:rFonts w:cs="Arial"/>
                <w:lang w:val="en-US"/>
              </w:rPr>
              <w:t>accountable</w:t>
            </w:r>
            <w:r w:rsidR="00DB2370" w:rsidRPr="00DB2370">
              <w:rPr>
                <w:rFonts w:cs="Arial"/>
                <w:lang w:val="en-US"/>
              </w:rPr>
              <w:t xml:space="preserve"> </w:t>
            </w:r>
            <w:r w:rsidR="003916B6" w:rsidRPr="003916B6">
              <w:rPr>
                <w:rFonts w:cs="Arial"/>
                <w:lang w:val="en-US"/>
              </w:rPr>
              <w:t xml:space="preserve">for </w:t>
            </w:r>
            <w:r w:rsidR="003B6976">
              <w:rPr>
                <w:rFonts w:cs="Arial"/>
                <w:lang w:val="en-US"/>
              </w:rPr>
              <w:t xml:space="preserve">sourcing </w:t>
            </w:r>
            <w:r w:rsidR="00553752">
              <w:rPr>
                <w:rFonts w:cs="Arial"/>
                <w:lang w:val="en-US"/>
              </w:rPr>
              <w:t xml:space="preserve">packaging component data, </w:t>
            </w:r>
            <w:r w:rsidR="003B6976">
              <w:rPr>
                <w:rFonts w:cs="Arial"/>
                <w:lang w:val="en-US"/>
              </w:rPr>
              <w:t xml:space="preserve">validating </w:t>
            </w:r>
            <w:r w:rsidR="00691BA3">
              <w:rPr>
                <w:rFonts w:cs="Arial"/>
                <w:lang w:val="en-US"/>
              </w:rPr>
              <w:t>data i</w:t>
            </w:r>
            <w:r w:rsidR="00553752">
              <w:rPr>
                <w:rFonts w:cs="Arial"/>
                <w:lang w:val="en-US"/>
              </w:rPr>
              <w:t xml:space="preserve">ntegrity and </w:t>
            </w:r>
            <w:r w:rsidR="00520413">
              <w:rPr>
                <w:rFonts w:cs="Arial"/>
                <w:lang w:val="en-US"/>
              </w:rPr>
              <w:t>produc</w:t>
            </w:r>
            <w:r w:rsidR="001A5E93">
              <w:rPr>
                <w:rFonts w:cs="Arial"/>
                <w:lang w:val="en-US"/>
              </w:rPr>
              <w:t>ing</w:t>
            </w:r>
            <w:r w:rsidR="00553752">
              <w:rPr>
                <w:rFonts w:cs="Arial"/>
                <w:lang w:val="en-US"/>
              </w:rPr>
              <w:t xml:space="preserve"> corporate reporting.</w:t>
            </w:r>
            <w:r>
              <w:t xml:space="preserve"> </w:t>
            </w:r>
            <w:r w:rsidR="001A5E93">
              <w:t>They</w:t>
            </w:r>
            <w:r w:rsidRPr="00A51DFC">
              <w:rPr>
                <w:rFonts w:cs="Arial"/>
                <w:lang w:val="en-US"/>
              </w:rPr>
              <w:t xml:space="preserve"> will be the subject matter expert on EPR good practices and ensure C&amp;C Group are aligned to the UK Government regulations. </w:t>
            </w:r>
            <w:r w:rsidR="001A5E93">
              <w:rPr>
                <w:rFonts w:cs="Arial"/>
                <w:lang w:val="en-US"/>
              </w:rPr>
              <w:t>Their</w:t>
            </w:r>
            <w:r w:rsidRPr="00A51DFC">
              <w:rPr>
                <w:rFonts w:cs="Arial"/>
                <w:lang w:val="en-US"/>
              </w:rPr>
              <w:t xml:space="preserve"> remit will involve</w:t>
            </w:r>
            <w:r w:rsidR="001A447E">
              <w:rPr>
                <w:rFonts w:cs="Arial"/>
                <w:lang w:val="en-US"/>
              </w:rPr>
              <w:t xml:space="preserve"> </w:t>
            </w:r>
            <w:r w:rsidRPr="00A51DFC">
              <w:rPr>
                <w:rFonts w:cs="Arial"/>
                <w:lang w:val="en-US"/>
              </w:rPr>
              <w:t>managing and leveraging large volumes of data from a variety of internal and external sources</w:t>
            </w:r>
            <w:r>
              <w:rPr>
                <w:rFonts w:cs="Arial"/>
                <w:lang w:val="en-US"/>
              </w:rPr>
              <w:t>, a</w:t>
            </w:r>
            <w:r w:rsidRPr="00A51DFC">
              <w:rPr>
                <w:rFonts w:cs="Arial"/>
                <w:lang w:val="en-US"/>
              </w:rPr>
              <w:t>nd will be responsible for designing, configuring, and managing data</w:t>
            </w:r>
            <w:r>
              <w:rPr>
                <w:rFonts w:cs="Arial"/>
                <w:lang w:val="en-US"/>
              </w:rPr>
              <w:t xml:space="preserve"> on an ongoing basis</w:t>
            </w:r>
            <w:r w:rsidRPr="00A51DFC">
              <w:rPr>
                <w:rFonts w:cs="Arial"/>
                <w:lang w:val="en-US"/>
              </w:rPr>
              <w:t>.</w:t>
            </w:r>
            <w:r w:rsidR="00553752">
              <w:rPr>
                <w:rFonts w:cs="Arial"/>
                <w:lang w:val="en-US"/>
              </w:rPr>
              <w:t xml:space="preserve"> The need for this resource has been established </w:t>
            </w:r>
            <w:r w:rsidR="00520413">
              <w:rPr>
                <w:rFonts w:cs="Arial"/>
                <w:lang w:val="en-US"/>
              </w:rPr>
              <w:t>during the</w:t>
            </w:r>
            <w:r w:rsidR="00553752">
              <w:rPr>
                <w:rFonts w:cs="Arial"/>
                <w:lang w:val="en-US"/>
              </w:rPr>
              <w:t xml:space="preserve"> 1</w:t>
            </w:r>
            <w:r w:rsidR="00553752" w:rsidRPr="00553752">
              <w:rPr>
                <w:rFonts w:cs="Arial"/>
                <w:vertAlign w:val="superscript"/>
                <w:lang w:val="en-US"/>
              </w:rPr>
              <w:t>st</w:t>
            </w:r>
            <w:r w:rsidR="00553752">
              <w:rPr>
                <w:rFonts w:cs="Arial"/>
                <w:lang w:val="en-US"/>
              </w:rPr>
              <w:t xml:space="preserve"> reporting exercise under the new UK government packaging waste regulations –</w:t>
            </w:r>
            <w:r w:rsidR="001A5E93">
              <w:rPr>
                <w:rFonts w:cs="Arial"/>
                <w:lang w:val="en-US"/>
              </w:rPr>
              <w:t xml:space="preserve"> </w:t>
            </w:r>
            <w:r w:rsidR="00553752">
              <w:rPr>
                <w:rFonts w:cs="Arial"/>
                <w:lang w:val="en-US"/>
              </w:rPr>
              <w:t xml:space="preserve">EPR. For </w:t>
            </w:r>
            <w:proofErr w:type="gramStart"/>
            <w:r w:rsidR="00553752">
              <w:rPr>
                <w:rFonts w:cs="Arial"/>
                <w:lang w:val="en-US"/>
              </w:rPr>
              <w:t>C&amp;</w:t>
            </w:r>
            <w:proofErr w:type="gramEnd"/>
            <w:r w:rsidR="00553752">
              <w:rPr>
                <w:rFonts w:cs="Arial"/>
                <w:lang w:val="en-US"/>
              </w:rPr>
              <w:t>C group this tax has added £7m of business cost/annum. The regulations are due for further</w:t>
            </w:r>
            <w:r w:rsidR="00691BA3">
              <w:rPr>
                <w:rFonts w:cs="Arial"/>
                <w:lang w:val="en-US"/>
              </w:rPr>
              <w:t xml:space="preserve"> </w:t>
            </w:r>
            <w:proofErr w:type="gramStart"/>
            <w:r w:rsidR="00691BA3">
              <w:rPr>
                <w:rFonts w:cs="Arial"/>
                <w:lang w:val="en-US"/>
              </w:rPr>
              <w:t>extension</w:t>
            </w:r>
            <w:proofErr w:type="gramEnd"/>
            <w:r w:rsidR="00691BA3">
              <w:rPr>
                <w:rFonts w:cs="Arial"/>
                <w:lang w:val="en-US"/>
              </w:rPr>
              <w:t xml:space="preserve"> this </w:t>
            </w:r>
            <w:r w:rsidR="00474735">
              <w:rPr>
                <w:rFonts w:cs="Arial"/>
                <w:lang w:val="en-US"/>
              </w:rPr>
              <w:t>s</w:t>
            </w:r>
            <w:r w:rsidR="00691BA3">
              <w:rPr>
                <w:rFonts w:cs="Arial"/>
                <w:lang w:val="en-US"/>
              </w:rPr>
              <w:t xml:space="preserve">ummer with the introduction of a full Recyclability Assessment at individual packaging component level. For C&amp;C group there are tens of thousands of components requiring a full review. As part of the new regulations Defra (Uk Government) can request a complete audit of the data, that C&amp;C have responsibility. </w:t>
            </w:r>
            <w:r>
              <w:rPr>
                <w:rFonts w:cs="Arial"/>
                <w:lang w:val="en-US"/>
              </w:rPr>
              <w:t xml:space="preserve"> This is a stand</w:t>
            </w:r>
            <w:r w:rsidR="00474735">
              <w:rPr>
                <w:rFonts w:cs="Arial"/>
                <w:lang w:val="en-US"/>
              </w:rPr>
              <w:t>-</w:t>
            </w:r>
            <w:r>
              <w:rPr>
                <w:rFonts w:cs="Arial"/>
                <w:lang w:val="en-US"/>
              </w:rPr>
              <w:t xml:space="preserve">alone role and will </w:t>
            </w:r>
            <w:r w:rsidR="00474735">
              <w:rPr>
                <w:rFonts w:cs="Arial"/>
                <w:lang w:val="en-US"/>
              </w:rPr>
              <w:t>require the indiv</w:t>
            </w:r>
            <w:r w:rsidR="00E70055">
              <w:rPr>
                <w:rFonts w:cs="Arial"/>
                <w:lang w:val="en-US"/>
              </w:rPr>
              <w:t xml:space="preserve">idual to </w:t>
            </w:r>
            <w:r>
              <w:rPr>
                <w:rFonts w:cs="Arial"/>
                <w:lang w:val="en-US"/>
              </w:rPr>
              <w:t>work independently.</w:t>
            </w:r>
          </w:p>
          <w:p w14:paraId="166B0201" w14:textId="4CBBE2AA" w:rsidR="001F231C" w:rsidRDefault="00691BA3" w:rsidP="002B5BBA">
            <w:pPr>
              <w:pStyle w:val="Header"/>
              <w:widowControl w:val="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br/>
              <w:t>The role is being established for a 12</w:t>
            </w:r>
            <w:r w:rsidR="00E42836">
              <w:rPr>
                <w:rFonts w:cs="Arial"/>
                <w:lang w:val="en-US"/>
              </w:rPr>
              <w:t>-</w:t>
            </w:r>
            <w:r>
              <w:rPr>
                <w:rFonts w:cs="Arial"/>
                <w:lang w:val="en-US"/>
              </w:rPr>
              <w:t>month period – and will be reviewed thereafter as the reporting requirements and regulations develop.</w:t>
            </w:r>
          </w:p>
          <w:p w14:paraId="4259B776" w14:textId="0D783AE8" w:rsidR="00511527" w:rsidRPr="0077519E" w:rsidRDefault="00511527" w:rsidP="00D71699">
            <w:pPr>
              <w:pStyle w:val="Header"/>
              <w:widowControl w:val="0"/>
              <w:tabs>
                <w:tab w:val="clear" w:pos="4513"/>
                <w:tab w:val="clear" w:pos="9026"/>
              </w:tabs>
              <w:jc w:val="both"/>
              <w:rPr>
                <w:rFonts w:cs="Arial"/>
                <w:lang w:val="en-US"/>
              </w:rPr>
            </w:pPr>
          </w:p>
        </w:tc>
      </w:tr>
    </w:tbl>
    <w:p w14:paraId="5CD27337" w14:textId="77777777" w:rsidR="00511527" w:rsidRPr="0077519E" w:rsidRDefault="00511527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77519E" w14:paraId="2285176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09AED0F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Key Accountabilities </w:t>
            </w:r>
            <w:r w:rsidR="00222E7A">
              <w:rPr>
                <w:b/>
              </w:rPr>
              <w:t xml:space="preserve"> - </w:t>
            </w:r>
          </w:p>
        </w:tc>
      </w:tr>
      <w:tr w:rsidR="00511527" w:rsidRPr="0077519E" w14:paraId="5AC594E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629E9B6" w14:textId="68D928FE" w:rsidR="0057725B" w:rsidRPr="002B75DD" w:rsidRDefault="00691BA3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Data</w:t>
            </w:r>
            <w:r w:rsidR="0057725B"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Management:</w:t>
            </w:r>
          </w:p>
          <w:p w14:paraId="49C2629A" w14:textId="1B19A4D9" w:rsidR="00074798" w:rsidRDefault="00074798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Creating and implementing the UK Government requirements and data standards</w:t>
            </w:r>
          </w:p>
          <w:p w14:paraId="10F7AB2F" w14:textId="478B6584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Oversee </w:t>
            </w:r>
            <w:r w:rsidR="00691BA3">
              <w:rPr>
                <w:rFonts w:ascii="Calibri" w:eastAsia="Times New Roman" w:hAnsi="Calibri" w:cs="Calibri"/>
                <w:lang w:eastAsia="en-GB"/>
              </w:rPr>
              <w:t>the data tables used for the packaging waste reporting.</w:t>
            </w:r>
          </w:p>
          <w:p w14:paraId="470D4732" w14:textId="7B7B7D52" w:rsidR="00E366E1" w:rsidRPr="004B7650" w:rsidRDefault="00E366E1" w:rsidP="00D71699">
            <w:pPr>
              <w:pStyle w:val="ListParagraph"/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4B7650">
              <w:rPr>
                <w:rFonts w:ascii="Calibri" w:eastAsia="Times New Roman" w:hAnsi="Calibri" w:cs="Calibri"/>
                <w:lang w:eastAsia="en-GB"/>
              </w:rPr>
              <w:t>Ensur</w:t>
            </w:r>
            <w:r w:rsidR="00691BA3">
              <w:rPr>
                <w:rFonts w:ascii="Calibri" w:eastAsia="Times New Roman" w:hAnsi="Calibri" w:cs="Calibri"/>
                <w:lang w:eastAsia="en-GB"/>
              </w:rPr>
              <w:t xml:space="preserve">e the data integrity and </w:t>
            </w:r>
            <w:r w:rsidR="00235602">
              <w:rPr>
                <w:rFonts w:ascii="Calibri" w:eastAsia="Times New Roman" w:hAnsi="Calibri" w:cs="Calibri"/>
                <w:lang w:eastAsia="en-GB"/>
              </w:rPr>
              <w:t xml:space="preserve">is </w:t>
            </w:r>
            <w:r w:rsidR="00691BA3">
              <w:rPr>
                <w:rFonts w:ascii="Calibri" w:eastAsia="Times New Roman" w:hAnsi="Calibri" w:cs="Calibri"/>
                <w:lang w:eastAsia="en-GB"/>
              </w:rPr>
              <w:t>audit</w:t>
            </w:r>
            <w:r w:rsidR="00235602">
              <w:rPr>
                <w:rFonts w:ascii="Calibri" w:eastAsia="Times New Roman" w:hAnsi="Calibri" w:cs="Calibri"/>
                <w:lang w:eastAsia="en-GB"/>
              </w:rPr>
              <w:t>able</w:t>
            </w:r>
            <w:r w:rsidR="00851BC1">
              <w:rPr>
                <w:rFonts w:ascii="Calibri" w:eastAsia="Times New Roman" w:hAnsi="Calibri" w:cs="Calibri"/>
                <w:lang w:eastAsia="en-GB"/>
              </w:rPr>
              <w:t>,</w:t>
            </w:r>
            <w:r w:rsidR="00691BA3">
              <w:rPr>
                <w:rFonts w:ascii="Calibri" w:eastAsia="Times New Roman" w:hAnsi="Calibri" w:cs="Calibri"/>
                <w:lang w:eastAsia="en-GB"/>
              </w:rPr>
              <w:t xml:space="preserve"> as required.</w:t>
            </w:r>
          </w:p>
          <w:p w14:paraId="21F3C7DA" w14:textId="58731FB6" w:rsidR="0057725B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Develop and monitor </w:t>
            </w:r>
            <w:r w:rsidR="00851BC1">
              <w:rPr>
                <w:rFonts w:ascii="Calibri" w:eastAsia="Times New Roman" w:hAnsi="Calibri" w:cs="Calibri"/>
                <w:lang w:eastAsia="en-GB"/>
              </w:rPr>
              <w:t xml:space="preserve">internal 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>key performance indicators (KPIs)</w:t>
            </w:r>
            <w:r w:rsidR="00557BA6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1BE27DD" w14:textId="6438C2F1" w:rsidR="00074798" w:rsidRDefault="00074798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Conduct internal audits to improve and prepare for external audit</w:t>
            </w:r>
          </w:p>
          <w:p w14:paraId="49BCBD22" w14:textId="5A4CA9DA" w:rsidR="00E42836" w:rsidRDefault="00E42836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Liaise with a range of stakeholders e.g. technical team(s), suppliers, master data, </w:t>
            </w:r>
            <w:proofErr w:type="gramStart"/>
            <w:r>
              <w:rPr>
                <w:rFonts w:ascii="Calibri" w:eastAsia="Times New Roman" w:hAnsi="Calibri" w:cs="Calibri"/>
                <w:lang w:eastAsia="en-GB"/>
              </w:rPr>
              <w:t>finance,  IT.</w:t>
            </w:r>
            <w:proofErr w:type="gramEnd"/>
          </w:p>
          <w:p w14:paraId="47BA16EC" w14:textId="77777777" w:rsidR="008E473E" w:rsidRDefault="008E473E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</w:p>
          <w:p w14:paraId="2046B6A3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Project Management:</w:t>
            </w:r>
          </w:p>
          <w:p w14:paraId="26568602" w14:textId="77777777" w:rsidR="00074798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Manage</w:t>
            </w:r>
            <w:r w:rsidR="00691BA3">
              <w:rPr>
                <w:rFonts w:ascii="Calibri" w:eastAsia="Times New Roman" w:hAnsi="Calibri" w:cs="Calibri"/>
                <w:lang w:eastAsia="en-GB"/>
              </w:rPr>
              <w:t xml:space="preserve"> the reporting requirements for C&amp;C group</w:t>
            </w:r>
            <w:r w:rsidR="00E42836">
              <w:rPr>
                <w:rFonts w:ascii="Calibri" w:eastAsia="Times New Roman" w:hAnsi="Calibri" w:cs="Calibri"/>
                <w:lang w:eastAsia="en-GB"/>
              </w:rPr>
              <w:t xml:space="preserve">, in respect </w:t>
            </w:r>
            <w:r w:rsidR="00851BC1">
              <w:rPr>
                <w:rFonts w:ascii="Calibri" w:eastAsia="Times New Roman" w:hAnsi="Calibri" w:cs="Calibri"/>
                <w:lang w:eastAsia="en-GB"/>
              </w:rPr>
              <w:t>to</w:t>
            </w:r>
            <w:r w:rsidR="00E428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851BC1">
              <w:rPr>
                <w:rFonts w:ascii="Calibri" w:eastAsia="Times New Roman" w:hAnsi="Calibri" w:cs="Calibri"/>
                <w:lang w:eastAsia="en-GB"/>
              </w:rPr>
              <w:t>the</w:t>
            </w:r>
            <w:r w:rsidR="00E42836">
              <w:rPr>
                <w:rFonts w:ascii="Calibri" w:eastAsia="Times New Roman" w:hAnsi="Calibri" w:cs="Calibri"/>
                <w:lang w:eastAsia="en-GB"/>
              </w:rPr>
              <w:t xml:space="preserve"> packaging waste regulations.</w:t>
            </w:r>
            <w:r w:rsidR="00074798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3D946C8" w14:textId="6D5D10B3" w:rsidR="0057725B" w:rsidRPr="002B75DD" w:rsidRDefault="00074798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Provide internal reports to monitor progress</w:t>
            </w:r>
          </w:p>
          <w:p w14:paraId="7AD68A19" w14:textId="0415078C" w:rsidR="001F3470" w:rsidRDefault="001F3470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1F3470">
              <w:rPr>
                <w:rFonts w:ascii="Calibri" w:eastAsia="Times New Roman" w:hAnsi="Calibri" w:cs="Calibri"/>
                <w:lang w:eastAsia="en-GB"/>
              </w:rPr>
              <w:t xml:space="preserve">Prioritise and manage </w:t>
            </w:r>
            <w:r w:rsidR="00691BA3">
              <w:rPr>
                <w:rFonts w:ascii="Calibri" w:eastAsia="Times New Roman" w:hAnsi="Calibri" w:cs="Calibri"/>
                <w:lang w:eastAsia="en-GB"/>
              </w:rPr>
              <w:t>the required reports to meet the regulatory deadlines.</w:t>
            </w:r>
          </w:p>
          <w:p w14:paraId="6C63EC8E" w14:textId="4CFDEE53" w:rsidR="00691BA3" w:rsidRDefault="00691BA3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lastRenderedPageBreak/>
              <w:t>L</w:t>
            </w:r>
            <w:r w:rsidR="00557BA6">
              <w:rPr>
                <w:rFonts w:ascii="Calibri" w:eastAsia="Times New Roman" w:hAnsi="Calibri" w:cs="Calibri"/>
                <w:lang w:eastAsia="en-GB"/>
              </w:rPr>
              <w:t xml:space="preserve">ead activity </w:t>
            </w:r>
            <w:r w:rsidR="00E42836">
              <w:rPr>
                <w:rFonts w:ascii="Calibri" w:eastAsia="Times New Roman" w:hAnsi="Calibri" w:cs="Calibri"/>
                <w:lang w:eastAsia="en-GB"/>
              </w:rPr>
              <w:t>to</w:t>
            </w:r>
            <w:r w:rsidR="00557BA6">
              <w:rPr>
                <w:rFonts w:ascii="Calibri" w:eastAsia="Times New Roman" w:hAnsi="Calibri" w:cs="Calibri"/>
                <w:lang w:eastAsia="en-GB"/>
              </w:rPr>
              <w:t xml:space="preserve"> ensure we can support the business  e.g. develop internal processes and reports </w:t>
            </w:r>
          </w:p>
          <w:p w14:paraId="517D5001" w14:textId="589B9D67" w:rsidR="0057725B" w:rsidRDefault="00557BA6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Educate internal stakeholders in the requirements and processes to follow</w:t>
            </w:r>
            <w:r w:rsidR="00E72C1D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1A4732F" w14:textId="64F25135" w:rsidR="001D1D53" w:rsidRPr="002B75DD" w:rsidRDefault="001D1D53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1D1D53">
              <w:rPr>
                <w:rFonts w:ascii="Calibri" w:eastAsia="Times New Roman" w:hAnsi="Calibri" w:cs="Calibri"/>
                <w:lang w:eastAsia="en-GB"/>
              </w:rPr>
              <w:t>Integrate industry best practices.</w:t>
            </w:r>
          </w:p>
          <w:p w14:paraId="4F731F0A" w14:textId="18083AA4" w:rsidR="0057725B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Coordinate cross-functional teams to ensure successful and timely </w:t>
            </w:r>
            <w:r w:rsidR="00557BA6">
              <w:rPr>
                <w:rFonts w:ascii="Calibri" w:eastAsia="Times New Roman" w:hAnsi="Calibri" w:cs="Calibri"/>
                <w:lang w:eastAsia="en-GB"/>
              </w:rPr>
              <w:t>reporting completion.</w:t>
            </w:r>
          </w:p>
          <w:p w14:paraId="729948CF" w14:textId="7E0F2773" w:rsidR="00691BA3" w:rsidRPr="002B75DD" w:rsidRDefault="00691BA3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Active leadership in the response to legislative development</w:t>
            </w:r>
            <w:r w:rsidR="00E42836">
              <w:rPr>
                <w:rFonts w:ascii="Calibri" w:eastAsia="Times New Roman" w:hAnsi="Calibri" w:cs="Calibri"/>
                <w:lang w:eastAsia="en-GB"/>
              </w:rPr>
              <w:t>(s)</w:t>
            </w:r>
          </w:p>
          <w:p w14:paraId="0E7A92F6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Continuous Improvement:</w:t>
            </w:r>
          </w:p>
          <w:p w14:paraId="06F41996" w14:textId="77777777" w:rsidR="00074798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Drive continuous improvement initiatives to optimize </w:t>
            </w:r>
            <w:r w:rsidR="00E42836">
              <w:rPr>
                <w:rFonts w:ascii="Calibri" w:eastAsia="Times New Roman" w:hAnsi="Calibri" w:cs="Calibri"/>
                <w:lang w:eastAsia="en-GB"/>
              </w:rPr>
              <w:t>the availability and reliability of information.</w:t>
            </w:r>
            <w:r w:rsidR="00074798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B09BE90" w14:textId="0ADD28B6" w:rsidR="00074798" w:rsidRDefault="00074798" w:rsidP="00074798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074798">
              <w:rPr>
                <w:rFonts w:ascii="Calibri" w:eastAsia="Times New Roman" w:hAnsi="Calibri" w:cs="Calibri"/>
                <w:lang w:eastAsia="en-GB"/>
              </w:rPr>
              <w:t>Leading/supporting initiatives to embed C&amp;C Group principles into the company’s core values and everyday practices</w:t>
            </w:r>
          </w:p>
          <w:p w14:paraId="0C756549" w14:textId="135D0679" w:rsidR="00074798" w:rsidRPr="00074798" w:rsidRDefault="00074798" w:rsidP="00074798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074798">
              <w:rPr>
                <w:rFonts w:ascii="Calibri" w:eastAsia="Times New Roman" w:hAnsi="Calibri" w:cs="Calibri"/>
                <w:lang w:eastAsia="en-GB"/>
              </w:rPr>
              <w:t>Encouraging CI by actively seeking feedback and supporting initiatives designed to enhance data quality and governance</w:t>
            </w:r>
          </w:p>
          <w:p w14:paraId="1FF734C4" w14:textId="2E19EB9D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Analyse root causes of</w:t>
            </w:r>
            <w:r w:rsidR="00557BA6">
              <w:rPr>
                <w:rFonts w:ascii="Calibri" w:eastAsia="Times New Roman" w:hAnsi="Calibri" w:cs="Calibri"/>
                <w:lang w:eastAsia="en-GB"/>
              </w:rPr>
              <w:t xml:space="preserve"> any data</w:t>
            </w:r>
            <w:r w:rsidR="00E42836">
              <w:rPr>
                <w:rFonts w:ascii="Calibri" w:eastAsia="Times New Roman" w:hAnsi="Calibri" w:cs="Calibri"/>
                <w:lang w:eastAsia="en-GB"/>
              </w:rPr>
              <w:t xml:space="preserve"> integrity failures</w:t>
            </w:r>
          </w:p>
          <w:p w14:paraId="69B00836" w14:textId="251C8806" w:rsidR="0057725B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Collaborate with </w:t>
            </w:r>
            <w:r w:rsidR="00E42836">
              <w:rPr>
                <w:rFonts w:ascii="Calibri" w:eastAsia="Times New Roman" w:hAnsi="Calibri" w:cs="Calibri"/>
                <w:lang w:eastAsia="en-GB"/>
              </w:rPr>
              <w:t>stakeholders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 to identify opportunities for process optimization.</w:t>
            </w:r>
          </w:p>
          <w:p w14:paraId="2459F72A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Budgeting &amp; Cost Management:</w:t>
            </w:r>
          </w:p>
          <w:p w14:paraId="2A6BCC2B" w14:textId="0E489B14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Develop and manage the</w:t>
            </w:r>
            <w:r w:rsidR="00E42836">
              <w:rPr>
                <w:rFonts w:ascii="Calibri" w:eastAsia="Times New Roman" w:hAnsi="Calibri" w:cs="Calibri"/>
                <w:lang w:eastAsia="en-GB"/>
              </w:rPr>
              <w:t xml:space="preserve"> reporting process to 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>ensur</w:t>
            </w:r>
            <w:r w:rsidR="00E42836">
              <w:rPr>
                <w:rFonts w:ascii="Calibri" w:eastAsia="Times New Roman" w:hAnsi="Calibri" w:cs="Calibri"/>
                <w:lang w:eastAsia="en-GB"/>
              </w:rPr>
              <w:t>e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 cost control and efficient use of resources.</w:t>
            </w:r>
          </w:p>
          <w:p w14:paraId="04845329" w14:textId="0A82B648" w:rsidR="0057725B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Evaluate and propose cost-saving initiatives without compromising </w:t>
            </w:r>
            <w:r w:rsidR="00E42836">
              <w:rPr>
                <w:rFonts w:ascii="Calibri" w:eastAsia="Times New Roman" w:hAnsi="Calibri" w:cs="Calibri"/>
                <w:lang w:eastAsia="en-GB"/>
              </w:rPr>
              <w:t>customer requirements or service</w:t>
            </w:r>
          </w:p>
          <w:p w14:paraId="2A291DE0" w14:textId="72CE0441" w:rsidR="00EC1DA4" w:rsidRDefault="00E42836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Effective p</w:t>
            </w:r>
            <w:r w:rsidR="00EC1DA4" w:rsidRPr="00EC1DA4">
              <w:rPr>
                <w:rFonts w:ascii="Calibri" w:eastAsia="Times New Roman" w:hAnsi="Calibri" w:cs="Calibri"/>
                <w:lang w:eastAsia="en-GB"/>
              </w:rPr>
              <w:t xml:space="preserve">lanning </w:t>
            </w:r>
            <w:r w:rsidR="00073E9C">
              <w:rPr>
                <w:rFonts w:ascii="Calibri" w:eastAsia="Times New Roman" w:hAnsi="Calibri" w:cs="Calibri"/>
                <w:lang w:eastAsia="en-GB"/>
              </w:rPr>
              <w:t xml:space="preserve">of </w:t>
            </w:r>
            <w:r>
              <w:rPr>
                <w:rFonts w:ascii="Calibri" w:eastAsia="Times New Roman" w:hAnsi="Calibri" w:cs="Calibri"/>
                <w:lang w:eastAsia="en-GB"/>
              </w:rPr>
              <w:t>reporting requirements</w:t>
            </w:r>
            <w:r w:rsidR="009100D7">
              <w:rPr>
                <w:rFonts w:ascii="Calibri" w:eastAsia="Times New Roman" w:hAnsi="Calibri" w:cs="Calibri"/>
                <w:lang w:eastAsia="en-GB"/>
              </w:rPr>
              <w:t>.</w:t>
            </w:r>
            <w:r w:rsidR="00074798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09F5BEE7" w14:textId="32BCF0A4" w:rsidR="00074798" w:rsidRPr="002B75DD" w:rsidRDefault="00074798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074798">
              <w:rPr>
                <w:rFonts w:ascii="Calibri" w:eastAsia="Times New Roman" w:hAnsi="Calibri" w:cs="Calibri"/>
                <w:lang w:eastAsia="en-GB"/>
              </w:rPr>
              <w:t>Exercise judgement and identifies innovative solutions</w:t>
            </w:r>
          </w:p>
          <w:p w14:paraId="6376EE96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Vendor &amp; Supplier Management:</w:t>
            </w:r>
          </w:p>
          <w:p w14:paraId="64ABCE27" w14:textId="6B3CB5DB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Manage relationships with external </w:t>
            </w:r>
            <w:r w:rsidR="00557BA6">
              <w:rPr>
                <w:rFonts w:ascii="Calibri" w:eastAsia="Times New Roman" w:hAnsi="Calibri" w:cs="Calibri"/>
                <w:lang w:eastAsia="en-GB"/>
              </w:rPr>
              <w:t>suppliers so that there are adequate checks on our data integrity.</w:t>
            </w:r>
          </w:p>
          <w:p w14:paraId="4B894309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Reporting &amp; Documentation:</w:t>
            </w:r>
          </w:p>
          <w:p w14:paraId="2E2798EA" w14:textId="018BED63" w:rsidR="0057725B" w:rsidRDefault="0057725B" w:rsidP="00E42836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Maintain accurate records of </w:t>
            </w:r>
            <w:r w:rsidR="00E42836">
              <w:rPr>
                <w:rFonts w:ascii="Calibri" w:eastAsia="Times New Roman" w:hAnsi="Calibri" w:cs="Calibri"/>
                <w:lang w:eastAsia="en-GB"/>
              </w:rPr>
              <w:t>all data submissions, both process inputs and outputs.</w:t>
            </w:r>
          </w:p>
          <w:p w14:paraId="5D27B665" w14:textId="0A062CAD" w:rsidR="00844A7C" w:rsidRPr="002B75DD" w:rsidRDefault="00074798" w:rsidP="00E42836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074798">
              <w:rPr>
                <w:rFonts w:ascii="Calibri" w:eastAsia="Times New Roman" w:hAnsi="Calibri" w:cs="Calibri"/>
                <w:lang w:eastAsia="en-GB"/>
              </w:rPr>
              <w:t>Create and maintain comprehensive documentation for integration processes, configurations, and protocol</w:t>
            </w:r>
          </w:p>
          <w:p w14:paraId="7A138AED" w14:textId="78EB7BA1" w:rsidR="00222E7A" w:rsidRPr="0077519E" w:rsidRDefault="00222E7A" w:rsidP="00D71699">
            <w:pPr>
              <w:ind w:left="720"/>
              <w:jc w:val="both"/>
            </w:pPr>
          </w:p>
        </w:tc>
      </w:tr>
    </w:tbl>
    <w:p w14:paraId="68EEC7B9" w14:textId="77777777" w:rsidR="00511527" w:rsidRDefault="00511527" w:rsidP="00D71699">
      <w:pPr>
        <w:jc w:val="both"/>
      </w:pPr>
    </w:p>
    <w:p w14:paraId="79FD6E50" w14:textId="77777777" w:rsidR="007E6EE6" w:rsidRPr="0077519E" w:rsidRDefault="007E6EE6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77519E" w14:paraId="248A5DF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B70E192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Key Stakeholders</w:t>
            </w:r>
          </w:p>
        </w:tc>
      </w:tr>
      <w:tr w:rsidR="00641B61" w:rsidRPr="0077519E" w14:paraId="1FD7F4E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63862433" w14:textId="7E53A493" w:rsidR="000965EB" w:rsidRPr="0077519E" w:rsidRDefault="00641B61" w:rsidP="00D71699">
            <w:pPr>
              <w:jc w:val="both"/>
            </w:pPr>
            <w:r w:rsidRPr="0077519E">
              <w:rPr>
                <w:b/>
              </w:rPr>
              <w:t>Internal</w:t>
            </w:r>
            <w:r w:rsidR="00370AB5" w:rsidRPr="0077519E">
              <w:rPr>
                <w:b/>
              </w:rPr>
              <w:t xml:space="preserve"> </w:t>
            </w:r>
            <w:r w:rsidR="0077519E" w:rsidRPr="0077519E">
              <w:rPr>
                <w:b/>
              </w:rPr>
              <w:t>–</w:t>
            </w:r>
            <w:r w:rsidR="00370AB5" w:rsidRPr="0077519E">
              <w:rPr>
                <w:b/>
              </w:rPr>
              <w:t xml:space="preserve"> </w:t>
            </w:r>
            <w:r w:rsidR="0077519E" w:rsidRPr="0077519E">
              <w:t xml:space="preserve">  </w:t>
            </w:r>
            <w:r w:rsidR="00E42836">
              <w:t>Group Technical, commercial and operations finance, master data, IT, procurement teams(3</w:t>
            </w:r>
            <w:r w:rsidR="00E42836" w:rsidRPr="00E42836">
              <w:rPr>
                <w:vertAlign w:val="superscript"/>
              </w:rPr>
              <w:t>rd</w:t>
            </w:r>
            <w:r w:rsidR="00E42836">
              <w:t xml:space="preserve"> party and manufactured)</w:t>
            </w:r>
            <w:r w:rsidR="00851BC1">
              <w:t>.</w:t>
            </w:r>
          </w:p>
          <w:p w14:paraId="0BC1AB5E" w14:textId="77777777" w:rsidR="00CD13A2" w:rsidRPr="0077519E" w:rsidRDefault="00CD13A2" w:rsidP="00D71699">
            <w:pPr>
              <w:jc w:val="both"/>
            </w:pPr>
          </w:p>
        </w:tc>
      </w:tr>
      <w:tr w:rsidR="00511527" w:rsidRPr="0077519E" w14:paraId="7BE527F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ADB7E97" w14:textId="4B465E0A" w:rsidR="00511527" w:rsidRPr="0077519E" w:rsidRDefault="00511527" w:rsidP="002B5391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External </w:t>
            </w:r>
            <w:r w:rsidR="008F1E64">
              <w:rPr>
                <w:b/>
              </w:rPr>
              <w:t>–</w:t>
            </w:r>
            <w:r w:rsidR="00370AB5" w:rsidRPr="0077519E">
              <w:rPr>
                <w:b/>
              </w:rPr>
              <w:t xml:space="preserve"> </w:t>
            </w:r>
            <w:r w:rsidR="008F1E64" w:rsidRPr="0041314E">
              <w:rPr>
                <w:bCs/>
              </w:rPr>
              <w:t xml:space="preserve">Contractors, </w:t>
            </w:r>
            <w:r w:rsidR="00570F17" w:rsidRPr="0041314E">
              <w:rPr>
                <w:bCs/>
              </w:rPr>
              <w:t>Suppliers</w:t>
            </w:r>
            <w:r w:rsidR="000657F8">
              <w:rPr>
                <w:bCs/>
              </w:rPr>
              <w:t xml:space="preserve">, </w:t>
            </w:r>
            <w:r w:rsidR="00E02009">
              <w:rPr>
                <w:bCs/>
              </w:rPr>
              <w:t>T</w:t>
            </w:r>
            <w:r w:rsidR="000657F8">
              <w:rPr>
                <w:bCs/>
              </w:rPr>
              <w:t>hird party service providers</w:t>
            </w:r>
            <w:r w:rsidR="002B5391">
              <w:rPr>
                <w:bCs/>
              </w:rPr>
              <w:t xml:space="preserve">, </w:t>
            </w:r>
            <w:r w:rsidR="002B5391" w:rsidRPr="002B5391">
              <w:rPr>
                <w:bCs/>
              </w:rPr>
              <w:t>Government bodies</w:t>
            </w:r>
            <w:r w:rsidR="002B5391">
              <w:rPr>
                <w:bCs/>
              </w:rPr>
              <w:t xml:space="preserve">, </w:t>
            </w:r>
            <w:r w:rsidR="002B5391" w:rsidRPr="002B5391">
              <w:rPr>
                <w:bCs/>
              </w:rPr>
              <w:t>Inspecting organisations</w:t>
            </w:r>
            <w:r w:rsidR="00F46A75">
              <w:rPr>
                <w:bCs/>
              </w:rPr>
              <w:t>.</w:t>
            </w:r>
          </w:p>
          <w:p w14:paraId="11942892" w14:textId="77777777" w:rsidR="00CD13A2" w:rsidRPr="0077519E" w:rsidRDefault="00CD13A2" w:rsidP="00D71699">
            <w:pPr>
              <w:jc w:val="both"/>
            </w:pPr>
          </w:p>
        </w:tc>
      </w:tr>
    </w:tbl>
    <w:p w14:paraId="213B91D7" w14:textId="77777777" w:rsidR="00511527" w:rsidRPr="0077519E" w:rsidRDefault="00511527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:rsidRPr="0077519E" w14:paraId="6958B912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0556ADDD" w14:textId="77777777" w:rsidR="00CD13A2" w:rsidRPr="0077519E" w:rsidRDefault="00CD13A2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Skills</w:t>
            </w:r>
          </w:p>
        </w:tc>
      </w:tr>
      <w:tr w:rsidR="004A2537" w:rsidRPr="0077519E" w14:paraId="6C0EF83F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3029A68B" w14:textId="77777777" w:rsidR="00231DFD" w:rsidRPr="00557BA6" w:rsidRDefault="00231DFD" w:rsidP="00D7169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Skills &amp; Abilities:</w:t>
            </w:r>
          </w:p>
          <w:p w14:paraId="73FC9BEB" w14:textId="0AC3B641" w:rsidR="00074798" w:rsidRDefault="00074798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074798">
              <w:rPr>
                <w:rFonts w:ascii="Calibri" w:eastAsia="Times New Roman" w:hAnsi="Calibri" w:cs="Calibri"/>
                <w:lang w:eastAsia="en-GB"/>
              </w:rPr>
              <w:t>An experienced professional in analytics</w:t>
            </w:r>
          </w:p>
          <w:p w14:paraId="3C8D81AA" w14:textId="29EC9428" w:rsidR="00557BA6" w:rsidRDefault="00557BA6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557BA6">
              <w:rPr>
                <w:rFonts w:ascii="Calibri" w:eastAsia="Times New Roman" w:hAnsi="Calibri" w:cs="Calibri"/>
                <w:lang w:eastAsia="en-GB"/>
              </w:rPr>
              <w:t>Strong analytical, numerical and problem-solving skills, with a data-driven approach to decision-making</w:t>
            </w:r>
          </w:p>
          <w:p w14:paraId="295CA04D" w14:textId="4567F1DD" w:rsidR="00272C3D" w:rsidRDefault="00272C3D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Ability to simplify complex data sets and create user friendly information.</w:t>
            </w:r>
          </w:p>
          <w:p w14:paraId="02DCCD55" w14:textId="6B6EEF4D" w:rsidR="00074798" w:rsidRDefault="00074798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lastRenderedPageBreak/>
              <w:t>A</w:t>
            </w:r>
            <w:r w:rsidRPr="00074798">
              <w:rPr>
                <w:rFonts w:ascii="Calibri" w:eastAsia="Times New Roman" w:hAnsi="Calibri" w:cs="Calibri"/>
                <w:lang w:eastAsia="en-GB"/>
              </w:rPr>
              <w:t>bility to deal with ambiguous and complex problems enabling you to understand and analyse process and technical aspects</w:t>
            </w:r>
          </w:p>
          <w:p w14:paraId="6BD9CB7F" w14:textId="597C003F" w:rsidR="005B5620" w:rsidRDefault="005B5620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Ab</w:t>
            </w:r>
            <w:r w:rsidR="00DF02F0">
              <w:rPr>
                <w:rFonts w:ascii="Calibri" w:eastAsia="Times New Roman" w:hAnsi="Calibri" w:cs="Calibri"/>
                <w:lang w:eastAsia="en-GB"/>
              </w:rPr>
              <w:t>ility to drive change, through p</w:t>
            </w:r>
            <w:r w:rsidR="00812918">
              <w:rPr>
                <w:rFonts w:ascii="Calibri" w:eastAsia="Times New Roman" w:hAnsi="Calibri" w:cs="Calibri"/>
                <w:lang w:eastAsia="en-GB"/>
              </w:rPr>
              <w:t>roactive</w:t>
            </w:r>
            <w:r w:rsidR="00DF02F0">
              <w:rPr>
                <w:rFonts w:ascii="Calibri" w:eastAsia="Times New Roman" w:hAnsi="Calibri" w:cs="Calibri"/>
                <w:lang w:eastAsia="en-GB"/>
              </w:rPr>
              <w:t xml:space="preserve"> communication</w:t>
            </w:r>
            <w:r w:rsidR="00074798">
              <w:rPr>
                <w:rFonts w:ascii="Calibri" w:eastAsia="Times New Roman" w:hAnsi="Calibri" w:cs="Calibri"/>
                <w:lang w:eastAsia="en-GB"/>
              </w:rPr>
              <w:t xml:space="preserve"> and influencing skills.</w:t>
            </w:r>
          </w:p>
          <w:p w14:paraId="3BF4BDC3" w14:textId="174F513E" w:rsidR="00E716D5" w:rsidRPr="002B75DD" w:rsidRDefault="00E716D5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Ability to </w:t>
            </w:r>
            <w:r w:rsidR="00E54666">
              <w:rPr>
                <w:rFonts w:ascii="Calibri" w:eastAsia="Times New Roman" w:hAnsi="Calibri" w:cs="Calibri"/>
                <w:lang w:eastAsia="en-GB"/>
              </w:rPr>
              <w:t xml:space="preserve">challenge </w:t>
            </w:r>
            <w:r w:rsidR="00CC49CC">
              <w:rPr>
                <w:rFonts w:ascii="Calibri" w:eastAsia="Times New Roman" w:hAnsi="Calibri" w:cs="Calibri"/>
                <w:lang w:eastAsia="en-GB"/>
              </w:rPr>
              <w:t>and</w:t>
            </w:r>
            <w:r w:rsidR="00CC49CC" w:rsidRPr="00CC49CC">
              <w:rPr>
                <w:rFonts w:ascii="Calibri" w:eastAsia="Times New Roman" w:hAnsi="Calibri" w:cs="Calibri"/>
                <w:lang w:eastAsia="en-GB"/>
              </w:rPr>
              <w:t xml:space="preserve"> influence </w:t>
            </w:r>
            <w:r w:rsidR="00E54666">
              <w:rPr>
                <w:rFonts w:ascii="Calibri" w:eastAsia="Times New Roman" w:hAnsi="Calibri" w:cs="Calibri"/>
                <w:lang w:eastAsia="en-GB"/>
              </w:rPr>
              <w:t xml:space="preserve">at all levels to </w:t>
            </w:r>
            <w:r w:rsidR="00B13EB5">
              <w:rPr>
                <w:rFonts w:ascii="Calibri" w:eastAsia="Times New Roman" w:hAnsi="Calibri" w:cs="Calibri"/>
                <w:lang w:eastAsia="en-GB"/>
              </w:rPr>
              <w:t xml:space="preserve">encourage positive change. </w:t>
            </w:r>
          </w:p>
          <w:p w14:paraId="018ECEAF" w14:textId="6C8B7462" w:rsidR="00231DFD" w:rsidRDefault="00231DFD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Proficiency in using </w:t>
            </w:r>
            <w:r w:rsidR="00557BA6">
              <w:rPr>
                <w:rFonts w:ascii="Calibri" w:eastAsia="Times New Roman" w:hAnsi="Calibri" w:cs="Calibri"/>
                <w:lang w:eastAsia="en-GB"/>
              </w:rPr>
              <w:t>IT systems/software,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 MS Office Suite, and other relevant tools.</w:t>
            </w:r>
          </w:p>
          <w:p w14:paraId="27976B6D" w14:textId="02CF0A8C" w:rsidR="00812918" w:rsidRDefault="00812918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Ability to understand the legislative requirements and interpret in a practical way to share with internal stakeholders.</w:t>
            </w:r>
          </w:p>
          <w:p w14:paraId="10FB2357" w14:textId="355F1A40" w:rsidR="00074798" w:rsidRDefault="00074798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074798">
              <w:rPr>
                <w:rFonts w:ascii="Calibri" w:eastAsia="Times New Roman" w:hAnsi="Calibri" w:cs="Calibri"/>
                <w:lang w:eastAsia="en-GB"/>
              </w:rPr>
              <w:t>Proven experience of understanding data and building the bridge between IT know-how and business understanding, to transfer knowledge effectively between technical and business</w:t>
            </w:r>
          </w:p>
          <w:p w14:paraId="4AE07AC5" w14:textId="134BF649" w:rsidR="00074798" w:rsidRPr="002B75DD" w:rsidRDefault="00074798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074798">
              <w:rPr>
                <w:rFonts w:ascii="Calibri" w:eastAsia="Times New Roman" w:hAnsi="Calibri" w:cs="Calibri"/>
                <w:lang w:eastAsia="en-GB"/>
              </w:rPr>
              <w:t>Proven ability to abstract and think analytically</w:t>
            </w:r>
          </w:p>
          <w:p w14:paraId="7ED92936" w14:textId="387D0BC4" w:rsidR="00255557" w:rsidRPr="0077519E" w:rsidRDefault="00255557" w:rsidP="00557BA6">
            <w:pPr>
              <w:spacing w:before="100" w:beforeAutospacing="1" w:after="100" w:afterAutospacing="1"/>
              <w:jc w:val="both"/>
              <w:rPr>
                <w:rFonts w:cs="Calibri"/>
              </w:rPr>
            </w:pPr>
          </w:p>
        </w:tc>
      </w:tr>
    </w:tbl>
    <w:p w14:paraId="15567E01" w14:textId="77777777" w:rsidR="00CD13A2" w:rsidRPr="0077519E" w:rsidRDefault="00CD13A2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:rsidRPr="0077519E" w14:paraId="7472D2FB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22C9C3E" w14:textId="77777777" w:rsidR="00641B61" w:rsidRPr="0077519E" w:rsidRDefault="00641B61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Experience and Qualifications</w:t>
            </w:r>
          </w:p>
        </w:tc>
      </w:tr>
      <w:tr w:rsidR="00641B61" w:rsidRPr="0077519E" w14:paraId="106F06ED" w14:textId="77777777" w:rsidTr="0077519E">
        <w:trPr>
          <w:trHeight w:val="1383"/>
        </w:trPr>
        <w:tc>
          <w:tcPr>
            <w:tcW w:w="9242" w:type="dxa"/>
            <w:shd w:val="clear" w:color="auto" w:fill="F2F2F2" w:themeFill="background1" w:themeFillShade="F2"/>
          </w:tcPr>
          <w:p w14:paraId="599C7687" w14:textId="77777777" w:rsidR="002B0755" w:rsidRPr="002B75DD" w:rsidRDefault="002B0755" w:rsidP="00D7169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Education:</w:t>
            </w:r>
          </w:p>
          <w:p w14:paraId="499D08B4" w14:textId="598C83E7" w:rsidR="002B0755" w:rsidRPr="00812918" w:rsidRDefault="002B0755" w:rsidP="00812918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Degree-level qualification in a relevant discipline (or equivalent experience).</w:t>
            </w:r>
          </w:p>
          <w:p w14:paraId="2863B3E3" w14:textId="550C95F4" w:rsidR="002B0755" w:rsidRPr="002B75DD" w:rsidRDefault="002B0755" w:rsidP="00D7169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Experienc</w:t>
            </w:r>
            <w:r w:rsidR="00557BA6">
              <w:rPr>
                <w:rFonts w:ascii="Calibri" w:eastAsia="Times New Roman" w:hAnsi="Calibri" w:cs="Calibri"/>
                <w:b/>
                <w:bCs/>
                <w:lang w:eastAsia="en-GB"/>
              </w:rPr>
              <w:t>e</w:t>
            </w:r>
          </w:p>
          <w:p w14:paraId="28C8A39F" w14:textId="3A1CAA00" w:rsidR="00C2696A" w:rsidRDefault="00C2696A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Prior knowledge of </w:t>
            </w:r>
            <w:r w:rsidR="009C1852">
              <w:rPr>
                <w:rFonts w:ascii="Calibri" w:eastAsia="Times New Roman" w:hAnsi="Calibri" w:cs="Calibri"/>
                <w:lang w:eastAsia="en-GB"/>
              </w:rPr>
              <w:t>developing business processes</w:t>
            </w:r>
            <w:r w:rsidR="00CF30EB">
              <w:rPr>
                <w:rFonts w:ascii="Calibri" w:eastAsia="Times New Roman" w:hAnsi="Calibri" w:cs="Calibri"/>
                <w:lang w:eastAsia="en-GB"/>
              </w:rPr>
              <w:t xml:space="preserve">, at </w:t>
            </w:r>
            <w:r w:rsidR="00763782">
              <w:rPr>
                <w:rFonts w:ascii="Calibri" w:eastAsia="Times New Roman" w:hAnsi="Calibri" w:cs="Calibri"/>
                <w:lang w:eastAsia="en-GB"/>
              </w:rPr>
              <w:t>scale, is</w:t>
            </w:r>
            <w:r w:rsidR="009C185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CF30EB">
              <w:rPr>
                <w:rFonts w:ascii="Calibri" w:eastAsia="Times New Roman" w:hAnsi="Calibri" w:cs="Calibri"/>
                <w:lang w:eastAsia="en-GB"/>
              </w:rPr>
              <w:t xml:space="preserve">desirable </w:t>
            </w:r>
          </w:p>
          <w:p w14:paraId="13F8E4C8" w14:textId="22B22F2D" w:rsidR="002B0755" w:rsidRPr="002B75DD" w:rsidRDefault="00557BA6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Prior knowledge of packaging </w:t>
            </w:r>
            <w:r w:rsidR="00E42836">
              <w:rPr>
                <w:rFonts w:ascii="Calibri" w:eastAsia="Times New Roman" w:hAnsi="Calibri" w:cs="Calibri"/>
                <w:lang w:eastAsia="en-GB"/>
              </w:rPr>
              <w:t xml:space="preserve">components </w:t>
            </w:r>
            <w:r>
              <w:rPr>
                <w:rFonts w:ascii="Calibri" w:eastAsia="Times New Roman" w:hAnsi="Calibri" w:cs="Calibri"/>
                <w:lang w:eastAsia="en-GB"/>
              </w:rPr>
              <w:t>is advantageous, but not essential.</w:t>
            </w:r>
          </w:p>
          <w:p w14:paraId="3A3A573D" w14:textId="03D39CF6" w:rsidR="00B0446E" w:rsidRDefault="00E42836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Large data set</w:t>
            </w:r>
            <w:r w:rsidR="00557BA6">
              <w:rPr>
                <w:rFonts w:ascii="Calibri" w:eastAsia="Times New Roman" w:hAnsi="Calibri" w:cs="Calibri"/>
                <w:lang w:eastAsia="en-GB"/>
              </w:rPr>
              <w:t xml:space="preserve"> management and processing is essential.</w:t>
            </w:r>
          </w:p>
          <w:p w14:paraId="78957D98" w14:textId="303CE832" w:rsidR="00E42836" w:rsidRDefault="00E42836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Financial reporting is advantageous but not essential</w:t>
            </w:r>
          </w:p>
          <w:p w14:paraId="2C4C914D" w14:textId="4A840C36" w:rsidR="00557BA6" w:rsidRPr="00F375E9" w:rsidRDefault="00557BA6" w:rsidP="00E42836">
            <w:pPr>
              <w:spacing w:before="100" w:beforeAutospacing="1" w:after="100" w:afterAutospacing="1"/>
              <w:ind w:left="1440"/>
              <w:jc w:val="both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0E695E4F" w14:textId="77777777" w:rsidR="00641B61" w:rsidRPr="0077519E" w:rsidRDefault="00641B61" w:rsidP="0041314E">
      <w:pPr>
        <w:jc w:val="both"/>
      </w:pPr>
    </w:p>
    <w:sectPr w:rsidR="00641B61" w:rsidRPr="0077519E" w:rsidSect="00ED0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F7421" w14:textId="77777777" w:rsidR="00F4684D" w:rsidRDefault="00F4684D" w:rsidP="00511527">
      <w:pPr>
        <w:spacing w:after="0" w:line="240" w:lineRule="auto"/>
      </w:pPr>
      <w:r>
        <w:separator/>
      </w:r>
    </w:p>
  </w:endnote>
  <w:endnote w:type="continuationSeparator" w:id="0">
    <w:p w14:paraId="68B419DA" w14:textId="77777777" w:rsidR="00F4684D" w:rsidRDefault="00F4684D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2392" w14:textId="77777777" w:rsidR="00F60614" w:rsidRDefault="00F60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454A" w14:textId="77777777" w:rsidR="0015532A" w:rsidRPr="0015532A" w:rsidRDefault="0015532A">
    <w:pPr>
      <w:pStyle w:val="Footer"/>
      <w:rPr>
        <w:b/>
        <w:sz w:val="18"/>
      </w:rPr>
    </w:pPr>
    <w:r w:rsidRPr="0015532A">
      <w:rPr>
        <w:b/>
        <w:sz w:val="18"/>
      </w:rPr>
      <w:t xml:space="preserve">HR Ref: </w:t>
    </w:r>
    <w:r w:rsidR="00817766">
      <w:rPr>
        <w:b/>
        <w:sz w:val="18"/>
      </w:rPr>
      <w:t>CCC7FY18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6490" w14:textId="77777777" w:rsidR="00F60614" w:rsidRDefault="00F60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25B92" w14:textId="77777777" w:rsidR="00F4684D" w:rsidRDefault="00F4684D" w:rsidP="00511527">
      <w:pPr>
        <w:spacing w:after="0" w:line="240" w:lineRule="auto"/>
      </w:pPr>
      <w:r>
        <w:separator/>
      </w:r>
    </w:p>
  </w:footnote>
  <w:footnote w:type="continuationSeparator" w:id="0">
    <w:p w14:paraId="61DBCD93" w14:textId="77777777" w:rsidR="00F4684D" w:rsidRDefault="00F4684D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4419" w14:textId="77777777" w:rsidR="00F60614" w:rsidRDefault="00F60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D6AA" w14:textId="60D7D447" w:rsidR="00511527" w:rsidRDefault="00511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9ABC" w14:textId="77777777" w:rsidR="00F60614" w:rsidRDefault="00F60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870"/>
    <w:multiLevelType w:val="multilevel"/>
    <w:tmpl w:val="0C4C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9DD"/>
    <w:multiLevelType w:val="hybridMultilevel"/>
    <w:tmpl w:val="E65848C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951E4"/>
    <w:multiLevelType w:val="hybridMultilevel"/>
    <w:tmpl w:val="094C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434"/>
    <w:multiLevelType w:val="hybridMultilevel"/>
    <w:tmpl w:val="D6FAE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73109"/>
    <w:multiLevelType w:val="hybridMultilevel"/>
    <w:tmpl w:val="BBD68FC6"/>
    <w:lvl w:ilvl="0" w:tplc="463AA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6C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C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40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E6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A3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2C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46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A9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EA7062"/>
    <w:multiLevelType w:val="hybridMultilevel"/>
    <w:tmpl w:val="E69A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64C3"/>
    <w:multiLevelType w:val="hybridMultilevel"/>
    <w:tmpl w:val="9578BEAC"/>
    <w:lvl w:ilvl="0" w:tplc="BF56C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74E75"/>
    <w:multiLevelType w:val="multilevel"/>
    <w:tmpl w:val="5C98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C2619"/>
    <w:multiLevelType w:val="hybridMultilevel"/>
    <w:tmpl w:val="9816F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13115">
    <w:abstractNumId w:val="11"/>
  </w:num>
  <w:num w:numId="2" w16cid:durableId="1319453337">
    <w:abstractNumId w:val="3"/>
  </w:num>
  <w:num w:numId="3" w16cid:durableId="1896892782">
    <w:abstractNumId w:val="1"/>
  </w:num>
  <w:num w:numId="4" w16cid:durableId="755631660">
    <w:abstractNumId w:val="9"/>
  </w:num>
  <w:num w:numId="5" w16cid:durableId="307974353">
    <w:abstractNumId w:val="12"/>
  </w:num>
  <w:num w:numId="6" w16cid:durableId="1636446863">
    <w:abstractNumId w:val="6"/>
  </w:num>
  <w:num w:numId="7" w16cid:durableId="7489000">
    <w:abstractNumId w:val="10"/>
  </w:num>
  <w:num w:numId="8" w16cid:durableId="1574970385">
    <w:abstractNumId w:val="4"/>
  </w:num>
  <w:num w:numId="9" w16cid:durableId="1257137148">
    <w:abstractNumId w:val="7"/>
  </w:num>
  <w:num w:numId="10" w16cid:durableId="1535076759">
    <w:abstractNumId w:val="2"/>
  </w:num>
  <w:num w:numId="11" w16cid:durableId="1263608937">
    <w:abstractNumId w:val="8"/>
  </w:num>
  <w:num w:numId="12" w16cid:durableId="1373189962">
    <w:abstractNumId w:val="0"/>
  </w:num>
  <w:num w:numId="13" w16cid:durableId="1328054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7"/>
    <w:rsid w:val="00000634"/>
    <w:rsid w:val="000043B7"/>
    <w:rsid w:val="00011102"/>
    <w:rsid w:val="00013235"/>
    <w:rsid w:val="0001755F"/>
    <w:rsid w:val="00017691"/>
    <w:rsid w:val="00025F15"/>
    <w:rsid w:val="000534B0"/>
    <w:rsid w:val="000558E3"/>
    <w:rsid w:val="00064132"/>
    <w:rsid w:val="000657F8"/>
    <w:rsid w:val="00070188"/>
    <w:rsid w:val="00073E9C"/>
    <w:rsid w:val="00074798"/>
    <w:rsid w:val="000807A8"/>
    <w:rsid w:val="00095D55"/>
    <w:rsid w:val="000965EB"/>
    <w:rsid w:val="00097B01"/>
    <w:rsid w:val="000B2592"/>
    <w:rsid w:val="000B34D9"/>
    <w:rsid w:val="000E31B8"/>
    <w:rsid w:val="000E3308"/>
    <w:rsid w:val="000F4E62"/>
    <w:rsid w:val="00105C2C"/>
    <w:rsid w:val="0011104C"/>
    <w:rsid w:val="001218FA"/>
    <w:rsid w:val="00124892"/>
    <w:rsid w:val="00130F9B"/>
    <w:rsid w:val="00143FEE"/>
    <w:rsid w:val="0015532A"/>
    <w:rsid w:val="00157EC7"/>
    <w:rsid w:val="00182835"/>
    <w:rsid w:val="00193025"/>
    <w:rsid w:val="001A447E"/>
    <w:rsid w:val="001A5E93"/>
    <w:rsid w:val="001B2311"/>
    <w:rsid w:val="001D1D53"/>
    <w:rsid w:val="001D22B0"/>
    <w:rsid w:val="001D2F52"/>
    <w:rsid w:val="001D5CE6"/>
    <w:rsid w:val="001E6242"/>
    <w:rsid w:val="001E685D"/>
    <w:rsid w:val="001F1AE8"/>
    <w:rsid w:val="001F231C"/>
    <w:rsid w:val="001F3470"/>
    <w:rsid w:val="00201380"/>
    <w:rsid w:val="002016A0"/>
    <w:rsid w:val="002028DD"/>
    <w:rsid w:val="00222E7A"/>
    <w:rsid w:val="00223484"/>
    <w:rsid w:val="002264F6"/>
    <w:rsid w:val="00231DFD"/>
    <w:rsid w:val="00235602"/>
    <w:rsid w:val="002459B6"/>
    <w:rsid w:val="00255557"/>
    <w:rsid w:val="00261685"/>
    <w:rsid w:val="00272C3D"/>
    <w:rsid w:val="002B0755"/>
    <w:rsid w:val="002B5391"/>
    <w:rsid w:val="002B5BBA"/>
    <w:rsid w:val="002C78A9"/>
    <w:rsid w:val="002E1917"/>
    <w:rsid w:val="003068CC"/>
    <w:rsid w:val="00312EB7"/>
    <w:rsid w:val="00320339"/>
    <w:rsid w:val="00342E52"/>
    <w:rsid w:val="003436F5"/>
    <w:rsid w:val="00346005"/>
    <w:rsid w:val="00350839"/>
    <w:rsid w:val="00362F30"/>
    <w:rsid w:val="00370AB5"/>
    <w:rsid w:val="00373BB3"/>
    <w:rsid w:val="00377D86"/>
    <w:rsid w:val="003916B6"/>
    <w:rsid w:val="003A7205"/>
    <w:rsid w:val="003B6976"/>
    <w:rsid w:val="003C2852"/>
    <w:rsid w:val="0041314E"/>
    <w:rsid w:val="0042049D"/>
    <w:rsid w:val="00426AC5"/>
    <w:rsid w:val="004340E9"/>
    <w:rsid w:val="00440C47"/>
    <w:rsid w:val="00441794"/>
    <w:rsid w:val="004465C3"/>
    <w:rsid w:val="00451822"/>
    <w:rsid w:val="004576F7"/>
    <w:rsid w:val="00467190"/>
    <w:rsid w:val="00473B2F"/>
    <w:rsid w:val="00474735"/>
    <w:rsid w:val="00480088"/>
    <w:rsid w:val="00481EF9"/>
    <w:rsid w:val="00485293"/>
    <w:rsid w:val="00491471"/>
    <w:rsid w:val="004A2537"/>
    <w:rsid w:val="004B4853"/>
    <w:rsid w:val="004B7650"/>
    <w:rsid w:val="004D061C"/>
    <w:rsid w:val="004D4B1C"/>
    <w:rsid w:val="004D77D0"/>
    <w:rsid w:val="004F1748"/>
    <w:rsid w:val="004F749A"/>
    <w:rsid w:val="0051050D"/>
    <w:rsid w:val="00511527"/>
    <w:rsid w:val="00520413"/>
    <w:rsid w:val="00542D26"/>
    <w:rsid w:val="00553752"/>
    <w:rsid w:val="00557BA6"/>
    <w:rsid w:val="00570F17"/>
    <w:rsid w:val="0057343E"/>
    <w:rsid w:val="0057725B"/>
    <w:rsid w:val="00581757"/>
    <w:rsid w:val="00586254"/>
    <w:rsid w:val="005922B1"/>
    <w:rsid w:val="005B11FB"/>
    <w:rsid w:val="005B5620"/>
    <w:rsid w:val="005C62AB"/>
    <w:rsid w:val="005C6B81"/>
    <w:rsid w:val="005E7A0A"/>
    <w:rsid w:val="00601CCC"/>
    <w:rsid w:val="00603FA4"/>
    <w:rsid w:val="00635594"/>
    <w:rsid w:val="00635E05"/>
    <w:rsid w:val="00637A89"/>
    <w:rsid w:val="00641B61"/>
    <w:rsid w:val="00647AE1"/>
    <w:rsid w:val="00662278"/>
    <w:rsid w:val="00665CCF"/>
    <w:rsid w:val="006702CE"/>
    <w:rsid w:val="00673DC5"/>
    <w:rsid w:val="00691BA3"/>
    <w:rsid w:val="006965D6"/>
    <w:rsid w:val="006A797E"/>
    <w:rsid w:val="006B3090"/>
    <w:rsid w:val="006C0762"/>
    <w:rsid w:val="006E07F6"/>
    <w:rsid w:val="006E5FAA"/>
    <w:rsid w:val="00701C2D"/>
    <w:rsid w:val="00730BCE"/>
    <w:rsid w:val="00731530"/>
    <w:rsid w:val="007379C1"/>
    <w:rsid w:val="00740EAA"/>
    <w:rsid w:val="00743542"/>
    <w:rsid w:val="00746FF0"/>
    <w:rsid w:val="007511F6"/>
    <w:rsid w:val="007613DC"/>
    <w:rsid w:val="00763782"/>
    <w:rsid w:val="00765CDC"/>
    <w:rsid w:val="00770013"/>
    <w:rsid w:val="00771819"/>
    <w:rsid w:val="0077519E"/>
    <w:rsid w:val="00790D76"/>
    <w:rsid w:val="007C5554"/>
    <w:rsid w:val="007D327B"/>
    <w:rsid w:val="007E6EE6"/>
    <w:rsid w:val="007F705F"/>
    <w:rsid w:val="00812918"/>
    <w:rsid w:val="0081722A"/>
    <w:rsid w:val="00817766"/>
    <w:rsid w:val="008367E7"/>
    <w:rsid w:val="00842382"/>
    <w:rsid w:val="0084265F"/>
    <w:rsid w:val="00842B88"/>
    <w:rsid w:val="00844A7C"/>
    <w:rsid w:val="00851BC1"/>
    <w:rsid w:val="00852A05"/>
    <w:rsid w:val="008568E2"/>
    <w:rsid w:val="0085699D"/>
    <w:rsid w:val="0087466C"/>
    <w:rsid w:val="00881AF7"/>
    <w:rsid w:val="00882052"/>
    <w:rsid w:val="00883215"/>
    <w:rsid w:val="00885DCB"/>
    <w:rsid w:val="008A137B"/>
    <w:rsid w:val="008B15A1"/>
    <w:rsid w:val="008D2013"/>
    <w:rsid w:val="008D54CD"/>
    <w:rsid w:val="008E215B"/>
    <w:rsid w:val="008E473E"/>
    <w:rsid w:val="008F1E64"/>
    <w:rsid w:val="008F34C4"/>
    <w:rsid w:val="008F39D6"/>
    <w:rsid w:val="009100D7"/>
    <w:rsid w:val="009459AA"/>
    <w:rsid w:val="00954928"/>
    <w:rsid w:val="009561D2"/>
    <w:rsid w:val="0097030D"/>
    <w:rsid w:val="0099718C"/>
    <w:rsid w:val="009C1852"/>
    <w:rsid w:val="009D3FF1"/>
    <w:rsid w:val="00A15A7E"/>
    <w:rsid w:val="00A215BF"/>
    <w:rsid w:val="00A401D5"/>
    <w:rsid w:val="00A44467"/>
    <w:rsid w:val="00A51DFC"/>
    <w:rsid w:val="00A55C5E"/>
    <w:rsid w:val="00A5620E"/>
    <w:rsid w:val="00A900C2"/>
    <w:rsid w:val="00AB5383"/>
    <w:rsid w:val="00AC01C9"/>
    <w:rsid w:val="00AD49EB"/>
    <w:rsid w:val="00AE1BA3"/>
    <w:rsid w:val="00AE52AC"/>
    <w:rsid w:val="00AF0A9B"/>
    <w:rsid w:val="00AF5F9B"/>
    <w:rsid w:val="00B02868"/>
    <w:rsid w:val="00B0446E"/>
    <w:rsid w:val="00B05FA8"/>
    <w:rsid w:val="00B13EB5"/>
    <w:rsid w:val="00B2195F"/>
    <w:rsid w:val="00B373DA"/>
    <w:rsid w:val="00B54970"/>
    <w:rsid w:val="00B60024"/>
    <w:rsid w:val="00B61199"/>
    <w:rsid w:val="00B6572B"/>
    <w:rsid w:val="00B81CCD"/>
    <w:rsid w:val="00B82F37"/>
    <w:rsid w:val="00B858E2"/>
    <w:rsid w:val="00BC581E"/>
    <w:rsid w:val="00BF003E"/>
    <w:rsid w:val="00BF2A67"/>
    <w:rsid w:val="00C00A50"/>
    <w:rsid w:val="00C15224"/>
    <w:rsid w:val="00C2696A"/>
    <w:rsid w:val="00C4172E"/>
    <w:rsid w:val="00C502F5"/>
    <w:rsid w:val="00C5587F"/>
    <w:rsid w:val="00C967CB"/>
    <w:rsid w:val="00CA2231"/>
    <w:rsid w:val="00CA4C0E"/>
    <w:rsid w:val="00CA5BEF"/>
    <w:rsid w:val="00CB43E1"/>
    <w:rsid w:val="00CB481C"/>
    <w:rsid w:val="00CC227C"/>
    <w:rsid w:val="00CC49CC"/>
    <w:rsid w:val="00CC7825"/>
    <w:rsid w:val="00CD13A2"/>
    <w:rsid w:val="00CD33A8"/>
    <w:rsid w:val="00CF0484"/>
    <w:rsid w:val="00CF0B9F"/>
    <w:rsid w:val="00CF30EB"/>
    <w:rsid w:val="00D036B0"/>
    <w:rsid w:val="00D06767"/>
    <w:rsid w:val="00D1533C"/>
    <w:rsid w:val="00D16D03"/>
    <w:rsid w:val="00D21DDD"/>
    <w:rsid w:val="00D353F0"/>
    <w:rsid w:val="00D4625E"/>
    <w:rsid w:val="00D519A4"/>
    <w:rsid w:val="00D6192C"/>
    <w:rsid w:val="00D64A10"/>
    <w:rsid w:val="00D71699"/>
    <w:rsid w:val="00D721C3"/>
    <w:rsid w:val="00D801A3"/>
    <w:rsid w:val="00D83D3A"/>
    <w:rsid w:val="00DB2370"/>
    <w:rsid w:val="00DC001D"/>
    <w:rsid w:val="00DC0BED"/>
    <w:rsid w:val="00DC22F6"/>
    <w:rsid w:val="00DF02F0"/>
    <w:rsid w:val="00DF2CC3"/>
    <w:rsid w:val="00DF5253"/>
    <w:rsid w:val="00DF6F63"/>
    <w:rsid w:val="00E02009"/>
    <w:rsid w:val="00E03D4D"/>
    <w:rsid w:val="00E07648"/>
    <w:rsid w:val="00E108A2"/>
    <w:rsid w:val="00E23608"/>
    <w:rsid w:val="00E36495"/>
    <w:rsid w:val="00E366E1"/>
    <w:rsid w:val="00E4034F"/>
    <w:rsid w:val="00E42836"/>
    <w:rsid w:val="00E54666"/>
    <w:rsid w:val="00E55B36"/>
    <w:rsid w:val="00E615FD"/>
    <w:rsid w:val="00E66070"/>
    <w:rsid w:val="00E70055"/>
    <w:rsid w:val="00E716D5"/>
    <w:rsid w:val="00E72C1D"/>
    <w:rsid w:val="00E736C5"/>
    <w:rsid w:val="00E75FEE"/>
    <w:rsid w:val="00E84420"/>
    <w:rsid w:val="00EC1DA4"/>
    <w:rsid w:val="00EC2760"/>
    <w:rsid w:val="00EC533A"/>
    <w:rsid w:val="00ED037C"/>
    <w:rsid w:val="00ED1D34"/>
    <w:rsid w:val="00EE5E57"/>
    <w:rsid w:val="00EF5D9B"/>
    <w:rsid w:val="00F1705B"/>
    <w:rsid w:val="00F23E42"/>
    <w:rsid w:val="00F241B9"/>
    <w:rsid w:val="00F375E9"/>
    <w:rsid w:val="00F4684D"/>
    <w:rsid w:val="00F46A75"/>
    <w:rsid w:val="00F54D35"/>
    <w:rsid w:val="00F5537E"/>
    <w:rsid w:val="00F60614"/>
    <w:rsid w:val="00F61072"/>
    <w:rsid w:val="00F67A76"/>
    <w:rsid w:val="00F90860"/>
    <w:rsid w:val="00FB5115"/>
    <w:rsid w:val="00FC2880"/>
    <w:rsid w:val="00FC5B01"/>
    <w:rsid w:val="00FD4A8F"/>
    <w:rsid w:val="00FD5DC0"/>
    <w:rsid w:val="00FE2DA5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5C6A6"/>
  <w15:docId w15:val="{622C9237-3B0C-4F5E-8065-06322F4F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5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Imy Hayes</cp:lastModifiedBy>
  <cp:revision>3</cp:revision>
  <cp:lastPrinted>2025-03-18T16:00:00Z</cp:lastPrinted>
  <dcterms:created xsi:type="dcterms:W3CDTF">2025-05-23T09:58:00Z</dcterms:created>
  <dcterms:modified xsi:type="dcterms:W3CDTF">2025-05-23T13:28:00Z</dcterms:modified>
</cp:coreProperties>
</file>