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464E" w14:textId="77777777" w:rsidR="00FC5B01" w:rsidRPr="0077519E" w:rsidRDefault="00FC5B01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528"/>
      </w:tblGrid>
      <w:tr w:rsidR="0015532A" w:rsidRPr="0077519E" w14:paraId="18D7F75C" w14:textId="77777777" w:rsidTr="0015532A">
        <w:tc>
          <w:tcPr>
            <w:tcW w:w="1526" w:type="dxa"/>
          </w:tcPr>
          <w:p w14:paraId="3BB5EBBD" w14:textId="77777777" w:rsidR="0015532A" w:rsidRPr="0077519E" w:rsidRDefault="0015532A" w:rsidP="00D71699">
            <w:pPr>
              <w:jc w:val="both"/>
              <w:rPr>
                <w:b/>
              </w:rPr>
            </w:pPr>
            <w:r w:rsidRPr="009459AA">
              <w:rPr>
                <w:b/>
              </w:rPr>
              <w:t>Job Title</w:t>
            </w:r>
          </w:p>
        </w:tc>
        <w:tc>
          <w:tcPr>
            <w:tcW w:w="7716" w:type="dxa"/>
          </w:tcPr>
          <w:p w14:paraId="4D217D7D" w14:textId="6137F237" w:rsidR="0015532A" w:rsidRPr="00FC2880" w:rsidRDefault="0085699D" w:rsidP="00D71699">
            <w:pPr>
              <w:jc w:val="both"/>
              <w:rPr>
                <w:b/>
                <w:sz w:val="28"/>
                <w:szCs w:val="28"/>
              </w:rPr>
            </w:pPr>
            <w:r w:rsidRPr="00FC2880">
              <w:rPr>
                <w:b/>
                <w:sz w:val="28"/>
                <w:szCs w:val="28"/>
              </w:rPr>
              <w:t>Site Engineering Manager</w:t>
            </w:r>
          </w:p>
        </w:tc>
      </w:tr>
    </w:tbl>
    <w:p w14:paraId="30393AD2" w14:textId="77777777" w:rsidR="0015532A" w:rsidRPr="0077519E" w:rsidRDefault="0015532A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:rsidRPr="0077519E" w14:paraId="56293B00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E925F2F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05A6031" w14:textId="5BCBD9AE" w:rsidR="00511527" w:rsidRPr="0077519E" w:rsidRDefault="00157EC7" w:rsidP="00D71699">
            <w:pPr>
              <w:jc w:val="both"/>
            </w:pPr>
            <w:r>
              <w:t xml:space="preserve">Head of Group Engineering </w:t>
            </w:r>
            <w:r w:rsidR="00D83D3A">
              <w:t xml:space="preserve">extending to Site General Manager </w:t>
            </w:r>
          </w:p>
        </w:tc>
      </w:tr>
      <w:tr w:rsidR="00511527" w:rsidRPr="0077519E" w14:paraId="5FC20D9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6C94AF1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34CAE27" w14:textId="4B9FD9F8" w:rsidR="00511527" w:rsidRPr="0077519E" w:rsidRDefault="00D71699" w:rsidP="00D71699">
            <w:pPr>
              <w:jc w:val="both"/>
            </w:pPr>
            <w:r>
              <w:t xml:space="preserve">Operations </w:t>
            </w:r>
          </w:p>
        </w:tc>
      </w:tr>
      <w:tr w:rsidR="00511527" w:rsidRPr="0077519E" w14:paraId="69CA035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291658E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EF1B56E" w14:textId="4DD0A1BF" w:rsidR="00511527" w:rsidRPr="0077519E" w:rsidRDefault="00F5537E" w:rsidP="00D71699">
            <w:pPr>
              <w:jc w:val="both"/>
            </w:pPr>
            <w:r>
              <w:t>Engineering</w:t>
            </w:r>
          </w:p>
        </w:tc>
      </w:tr>
      <w:tr w:rsidR="00511527" w:rsidRPr="0077519E" w14:paraId="566560E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5EE29C6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CC54143" w14:textId="77777777" w:rsidR="00511527" w:rsidRPr="0077519E" w:rsidRDefault="00511527" w:rsidP="00D71699">
            <w:pPr>
              <w:jc w:val="both"/>
            </w:pPr>
          </w:p>
        </w:tc>
      </w:tr>
      <w:tr w:rsidR="00511527" w:rsidRPr="0077519E" w14:paraId="6683AA1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A42AB20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AABA91E" w14:textId="1462AB17" w:rsidR="00511527" w:rsidRPr="0077519E" w:rsidRDefault="00481EF9" w:rsidP="00D71699">
            <w:pPr>
              <w:jc w:val="both"/>
            </w:pPr>
            <w:r w:rsidRPr="00481EF9">
              <w:t>Tennent's Wellpark Brewery</w:t>
            </w:r>
            <w:r w:rsidR="000F4E62">
              <w:t xml:space="preserve">, </w:t>
            </w:r>
            <w:r w:rsidRPr="00481EF9">
              <w:t>Glasgow</w:t>
            </w:r>
          </w:p>
        </w:tc>
      </w:tr>
      <w:tr w:rsidR="00511527" w:rsidRPr="0077519E" w14:paraId="21A8832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421AF37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B4BAFE9" w14:textId="4BA836CF" w:rsidR="00511527" w:rsidRPr="0077519E" w:rsidRDefault="003A7205" w:rsidP="00D71699">
            <w:pPr>
              <w:jc w:val="both"/>
            </w:pPr>
            <w:r>
              <w:t>T</w:t>
            </w:r>
            <w:r w:rsidR="00370AB5" w:rsidRPr="0077519E">
              <w:t xml:space="preserve">ravel </w:t>
            </w:r>
            <w:r w:rsidR="00635E05">
              <w:t>between C&amp;C</w:t>
            </w:r>
            <w:r w:rsidR="00222E7A">
              <w:t xml:space="preserve"> business units </w:t>
            </w:r>
            <w:r w:rsidR="00D353F0">
              <w:t>maybe r</w:t>
            </w:r>
            <w:r w:rsidR="00635E05">
              <w:t>equired.</w:t>
            </w:r>
          </w:p>
        </w:tc>
      </w:tr>
    </w:tbl>
    <w:p w14:paraId="58BCD678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4D5B4B0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F7CAF3B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Role Summary </w:t>
            </w:r>
          </w:p>
        </w:tc>
      </w:tr>
      <w:tr w:rsidR="00511527" w:rsidRPr="0077519E" w14:paraId="06E0100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D0D0E41" w14:textId="26F6D8E6" w:rsidR="0051050D" w:rsidRDefault="003916B6" w:rsidP="00D71699">
            <w:pPr>
              <w:pStyle w:val="Header"/>
              <w:widowControl w:val="0"/>
              <w:jc w:val="both"/>
              <w:rPr>
                <w:rFonts w:cs="Arial"/>
                <w:lang w:val="en-US"/>
              </w:rPr>
            </w:pPr>
            <w:r w:rsidRPr="003916B6">
              <w:rPr>
                <w:rFonts w:cs="Arial"/>
                <w:lang w:val="en-US"/>
              </w:rPr>
              <w:t>The Site Engineering Manager is</w:t>
            </w:r>
            <w:r w:rsidR="00DB2370" w:rsidRPr="00DB2370">
              <w:rPr>
                <w:rFonts w:cs="Arial"/>
                <w:lang w:val="en-US"/>
              </w:rPr>
              <w:t xml:space="preserve"> accountable </w:t>
            </w:r>
            <w:r w:rsidRPr="003916B6">
              <w:rPr>
                <w:rFonts w:cs="Arial"/>
                <w:lang w:val="en-US"/>
              </w:rPr>
              <w:t xml:space="preserve">for </w:t>
            </w:r>
            <w:r w:rsidR="008D2013" w:rsidRPr="008D2013">
              <w:rPr>
                <w:rFonts w:cs="Arial"/>
                <w:lang w:val="en-US"/>
              </w:rPr>
              <w:t>the continuous operation and regular maintenance of all machinery and operating equipment</w:t>
            </w:r>
            <w:r w:rsidR="00B05FA8">
              <w:rPr>
                <w:rFonts w:cs="Arial"/>
                <w:lang w:val="en-US"/>
              </w:rPr>
              <w:t xml:space="preserve"> </w:t>
            </w:r>
            <w:r w:rsidRPr="003916B6">
              <w:rPr>
                <w:rFonts w:cs="Arial"/>
                <w:lang w:val="en-US"/>
              </w:rPr>
              <w:t>activities at the brewery</w:t>
            </w:r>
            <w:r w:rsidR="008F39D6">
              <w:rPr>
                <w:rFonts w:cs="Arial"/>
                <w:lang w:val="en-US"/>
              </w:rPr>
              <w:t xml:space="preserve">. This </w:t>
            </w:r>
            <w:r w:rsidR="007511F6">
              <w:rPr>
                <w:rFonts w:cs="Arial"/>
                <w:lang w:val="en-US"/>
              </w:rPr>
              <w:t>person</w:t>
            </w:r>
            <w:r w:rsidR="008F39D6">
              <w:rPr>
                <w:rFonts w:cs="Arial"/>
                <w:lang w:val="en-US"/>
              </w:rPr>
              <w:t xml:space="preserve"> </w:t>
            </w:r>
            <w:r w:rsidR="00440C47">
              <w:rPr>
                <w:rFonts w:cs="Arial"/>
                <w:lang w:val="en-US"/>
              </w:rPr>
              <w:t xml:space="preserve">will </w:t>
            </w:r>
            <w:r w:rsidR="00C967CB">
              <w:rPr>
                <w:rFonts w:cs="Arial"/>
                <w:lang w:val="en-US"/>
              </w:rPr>
              <w:t>act</w:t>
            </w:r>
            <w:r w:rsidR="00440C47">
              <w:rPr>
                <w:rFonts w:cs="Arial"/>
                <w:lang w:val="en-US"/>
              </w:rPr>
              <w:t xml:space="preserve"> as </w:t>
            </w:r>
            <w:r w:rsidR="00637A89" w:rsidRPr="00637A89">
              <w:rPr>
                <w:rFonts w:cs="Arial"/>
                <w:lang w:val="en-US"/>
              </w:rPr>
              <w:t>a specialist with technical expertise in electrical, mechanical,</w:t>
            </w:r>
            <w:r w:rsidR="00637A89">
              <w:rPr>
                <w:rFonts w:cs="Arial"/>
                <w:lang w:val="en-US"/>
              </w:rPr>
              <w:t xml:space="preserve"> </w:t>
            </w:r>
            <w:r w:rsidR="00637A89" w:rsidRPr="00637A89">
              <w:rPr>
                <w:rFonts w:cs="Arial"/>
                <w:lang w:val="en-US"/>
              </w:rPr>
              <w:t>structural engineering. Develop and evaluate plans and criteria for a variety of</w:t>
            </w:r>
            <w:r w:rsidR="000558E3">
              <w:rPr>
                <w:rFonts w:cs="Arial"/>
                <w:lang w:val="en-US"/>
              </w:rPr>
              <w:t xml:space="preserve"> </w:t>
            </w:r>
            <w:r w:rsidR="00637A89" w:rsidRPr="00637A89">
              <w:rPr>
                <w:rFonts w:cs="Arial"/>
                <w:lang w:val="en-US"/>
              </w:rPr>
              <w:t xml:space="preserve">projects and activities that are to be carried out by </w:t>
            </w:r>
            <w:r w:rsidR="004B4853">
              <w:rPr>
                <w:rFonts w:cs="Arial"/>
                <w:lang w:val="en-US"/>
              </w:rPr>
              <w:t>their team.</w:t>
            </w:r>
            <w:r w:rsidR="00FE2DA5">
              <w:rPr>
                <w:rFonts w:cs="Arial"/>
                <w:lang w:val="en-US"/>
              </w:rPr>
              <w:t xml:space="preserve"> </w:t>
            </w:r>
            <w:r w:rsidR="00E55B36">
              <w:rPr>
                <w:rFonts w:cs="Arial"/>
                <w:lang w:val="en-US"/>
              </w:rPr>
              <w:t xml:space="preserve">Lead and </w:t>
            </w:r>
            <w:r w:rsidR="00D16D03">
              <w:rPr>
                <w:rFonts w:cs="Arial"/>
                <w:lang w:val="en-US"/>
              </w:rPr>
              <w:t>develop</w:t>
            </w:r>
            <w:r w:rsidR="00E55B36">
              <w:rPr>
                <w:rFonts w:cs="Arial"/>
                <w:lang w:val="en-US"/>
              </w:rPr>
              <w:t xml:space="preserve"> </w:t>
            </w:r>
            <w:r w:rsidR="00FE2DA5" w:rsidRPr="00FE2DA5">
              <w:rPr>
                <w:rFonts w:cs="Arial"/>
                <w:lang w:val="en-US"/>
              </w:rPr>
              <w:t>in establishing design plans, prepare engineering development</w:t>
            </w:r>
            <w:r w:rsidR="00FE2DA5">
              <w:rPr>
                <w:rFonts w:cs="Arial"/>
                <w:lang w:val="en-US"/>
              </w:rPr>
              <w:t xml:space="preserve"> </w:t>
            </w:r>
            <w:r w:rsidR="00FE2DA5" w:rsidRPr="00FE2DA5">
              <w:rPr>
                <w:rFonts w:cs="Arial"/>
                <w:lang w:val="en-US"/>
              </w:rPr>
              <w:t xml:space="preserve">proposals and </w:t>
            </w:r>
            <w:r w:rsidR="00D16D03">
              <w:rPr>
                <w:rFonts w:cs="Arial"/>
                <w:lang w:val="en-US"/>
              </w:rPr>
              <w:t xml:space="preserve">manage </w:t>
            </w:r>
            <w:r w:rsidR="00FE2DA5" w:rsidRPr="00FE2DA5">
              <w:rPr>
                <w:rFonts w:cs="Arial"/>
                <w:lang w:val="en-US"/>
              </w:rPr>
              <w:t>the setting of technical</w:t>
            </w:r>
            <w:r w:rsidR="000558E3">
              <w:rPr>
                <w:rFonts w:cs="Arial"/>
                <w:lang w:val="en-US"/>
              </w:rPr>
              <w:t xml:space="preserve"> </w:t>
            </w:r>
            <w:r w:rsidR="00FE2DA5" w:rsidRPr="00FE2DA5">
              <w:rPr>
                <w:rFonts w:cs="Arial"/>
                <w:lang w:val="en-US"/>
              </w:rPr>
              <w:t xml:space="preserve">objectives. </w:t>
            </w:r>
            <w:r w:rsidR="0051050D" w:rsidRPr="0051050D">
              <w:rPr>
                <w:rFonts w:cs="Arial"/>
                <w:lang w:val="en-US"/>
              </w:rPr>
              <w:t xml:space="preserve">Ensuring a strategy is in place to </w:t>
            </w:r>
            <w:r w:rsidR="004340E9" w:rsidRPr="0051050D">
              <w:rPr>
                <w:rFonts w:cs="Arial"/>
                <w:lang w:val="en-US"/>
              </w:rPr>
              <w:t>warrant</w:t>
            </w:r>
            <w:r w:rsidR="0051050D" w:rsidRPr="0051050D">
              <w:rPr>
                <w:rFonts w:cs="Arial"/>
                <w:lang w:val="en-US"/>
              </w:rPr>
              <w:t xml:space="preserve"> end-of-life replacement options for machinery is considered and costed into future year budgets.​</w:t>
            </w:r>
          </w:p>
          <w:p w14:paraId="61793297" w14:textId="77777777" w:rsidR="00581757" w:rsidRDefault="00581757" w:rsidP="00D71699">
            <w:pPr>
              <w:pStyle w:val="Header"/>
              <w:widowControl w:val="0"/>
              <w:jc w:val="both"/>
              <w:rPr>
                <w:rFonts w:cs="Arial"/>
                <w:lang w:val="en-US"/>
              </w:rPr>
            </w:pPr>
          </w:p>
          <w:p w14:paraId="4259B776" w14:textId="29AF2A7F" w:rsidR="00511527" w:rsidRPr="0077519E" w:rsidRDefault="003916B6" w:rsidP="00D71699">
            <w:pPr>
              <w:pStyle w:val="Header"/>
              <w:widowControl w:val="0"/>
              <w:tabs>
                <w:tab w:val="clear" w:pos="4513"/>
                <w:tab w:val="clear" w:pos="9026"/>
              </w:tabs>
              <w:jc w:val="both"/>
              <w:rPr>
                <w:rFonts w:cs="Arial"/>
                <w:lang w:val="en-US"/>
              </w:rPr>
            </w:pPr>
            <w:r w:rsidRPr="003916B6">
              <w:rPr>
                <w:rFonts w:cs="Arial"/>
                <w:lang w:val="en-US"/>
              </w:rPr>
              <w:t>Th</w:t>
            </w:r>
            <w:r w:rsidR="0081722A">
              <w:rPr>
                <w:rFonts w:cs="Arial"/>
                <w:lang w:val="en-US"/>
              </w:rPr>
              <w:t>e</w:t>
            </w:r>
            <w:r w:rsidRPr="003916B6">
              <w:rPr>
                <w:rFonts w:cs="Arial"/>
                <w:lang w:val="en-US"/>
              </w:rPr>
              <w:t xml:space="preserve"> role requires a blend of leadership, technical expertise</w:t>
            </w:r>
            <w:r w:rsidR="00765CDC">
              <w:rPr>
                <w:rFonts w:cs="Arial"/>
                <w:lang w:val="en-US"/>
              </w:rPr>
              <w:t xml:space="preserve"> </w:t>
            </w:r>
            <w:r w:rsidRPr="003916B6">
              <w:rPr>
                <w:rFonts w:cs="Arial"/>
                <w:lang w:val="en-US"/>
              </w:rPr>
              <w:t xml:space="preserve">and </w:t>
            </w:r>
            <w:r w:rsidR="006E07F6">
              <w:rPr>
                <w:rFonts w:cs="Arial"/>
                <w:lang w:val="en-US"/>
              </w:rPr>
              <w:t>in</w:t>
            </w:r>
            <w:r w:rsidR="00362F30">
              <w:rPr>
                <w:rFonts w:cs="Arial"/>
                <w:lang w:val="en-US"/>
              </w:rPr>
              <w:t xml:space="preserve">-depth </w:t>
            </w:r>
            <w:r w:rsidRPr="003916B6">
              <w:rPr>
                <w:rFonts w:cs="Arial"/>
                <w:lang w:val="en-US"/>
              </w:rPr>
              <w:t xml:space="preserve">operational knowledge to ensure </w:t>
            </w:r>
            <w:r w:rsidR="00C502F5">
              <w:rPr>
                <w:rFonts w:cs="Arial"/>
                <w:lang w:val="en-US"/>
              </w:rPr>
              <w:t>all</w:t>
            </w:r>
            <w:r w:rsidRPr="003916B6">
              <w:rPr>
                <w:rFonts w:cs="Arial"/>
                <w:lang w:val="en-US"/>
              </w:rPr>
              <w:t xml:space="preserve"> brewery equipment and facilities run efficiently</w:t>
            </w:r>
            <w:r w:rsidR="00C4172E">
              <w:rPr>
                <w:rFonts w:cs="Arial"/>
                <w:lang w:val="en-US"/>
              </w:rPr>
              <w:t xml:space="preserve"> </w:t>
            </w:r>
            <w:r w:rsidR="00201380">
              <w:rPr>
                <w:rFonts w:cs="Arial"/>
                <w:lang w:val="en-US"/>
              </w:rPr>
              <w:t xml:space="preserve">and </w:t>
            </w:r>
            <w:r w:rsidR="00201380" w:rsidRPr="003916B6">
              <w:rPr>
                <w:rFonts w:cs="Arial"/>
                <w:lang w:val="en-US"/>
              </w:rPr>
              <w:t>safely</w:t>
            </w:r>
            <w:r w:rsidR="00CF0B9F">
              <w:rPr>
                <w:rFonts w:cs="Arial"/>
                <w:lang w:val="en-US"/>
              </w:rPr>
              <w:t xml:space="preserve"> </w:t>
            </w:r>
            <w:r w:rsidR="00CF0B9F" w:rsidRPr="000558E3">
              <w:rPr>
                <w:rFonts w:cs="Arial"/>
                <w:lang w:val="en-US"/>
              </w:rPr>
              <w:t>integrating</w:t>
            </w:r>
            <w:r w:rsidR="000558E3" w:rsidRPr="000558E3">
              <w:rPr>
                <w:rFonts w:cs="Arial"/>
                <w:lang w:val="en-US"/>
              </w:rPr>
              <w:t xml:space="preserve"> best practices</w:t>
            </w:r>
            <w:r w:rsidR="00201380">
              <w:rPr>
                <w:rFonts w:cs="Arial"/>
                <w:lang w:val="en-US"/>
              </w:rPr>
              <w:t xml:space="preserve">.   They will </w:t>
            </w:r>
            <w:r w:rsidR="000558E3" w:rsidRPr="000558E3">
              <w:rPr>
                <w:rFonts w:cs="Arial"/>
                <w:lang w:val="en-US"/>
              </w:rPr>
              <w:t>influence departmental plans and policies to achieve service, quality, and operational objectives.</w:t>
            </w:r>
            <w:r w:rsidR="00CF0B9F">
              <w:rPr>
                <w:rFonts w:cs="Arial"/>
                <w:lang w:val="en-US"/>
              </w:rPr>
              <w:t xml:space="preserve"> </w:t>
            </w:r>
            <w:r w:rsidR="000E31B8">
              <w:rPr>
                <w:rFonts w:cs="Arial"/>
                <w:lang w:val="en-US"/>
              </w:rPr>
              <w:t xml:space="preserve">They will be </w:t>
            </w:r>
            <w:r w:rsidR="001218FA" w:rsidRPr="001218FA">
              <w:rPr>
                <w:rFonts w:cs="Arial"/>
                <w:lang w:val="en-US"/>
              </w:rPr>
              <w:t xml:space="preserve">accountable for leading a team </w:t>
            </w:r>
            <w:r w:rsidRPr="003916B6">
              <w:rPr>
                <w:rFonts w:cs="Arial"/>
                <w:lang w:val="en-US"/>
              </w:rPr>
              <w:t>of engineers and maintenance professionals, develop and execute preventative maintenance programs, and drive continuous improvement initiatives to enhance equipment performance and facility infrastructure.</w:t>
            </w:r>
          </w:p>
        </w:tc>
      </w:tr>
    </w:tbl>
    <w:p w14:paraId="5CD27337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2285176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09AED0F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Key Accountabilities </w:t>
            </w:r>
            <w:r w:rsidR="00222E7A">
              <w:rPr>
                <w:b/>
              </w:rPr>
              <w:t xml:space="preserve"> - </w:t>
            </w:r>
          </w:p>
        </w:tc>
      </w:tr>
      <w:tr w:rsidR="00511527" w:rsidRPr="0077519E" w14:paraId="5AC594E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8A0627F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Team Leadership &amp; Development:</w:t>
            </w:r>
          </w:p>
          <w:p w14:paraId="4A3182AB" w14:textId="7FD3F371" w:rsidR="00603FA4" w:rsidRDefault="00603FA4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603FA4">
              <w:rPr>
                <w:rFonts w:ascii="Calibri" w:eastAsia="Times New Roman" w:hAnsi="Calibri" w:cs="Calibri"/>
                <w:lang w:eastAsia="en-GB"/>
              </w:rPr>
              <w:t>ccountab</w:t>
            </w:r>
            <w:r>
              <w:rPr>
                <w:rFonts w:ascii="Calibri" w:eastAsia="Times New Roman" w:hAnsi="Calibri" w:cs="Calibri"/>
                <w:lang w:eastAsia="en-GB"/>
              </w:rPr>
              <w:t>le</w:t>
            </w:r>
            <w:r w:rsidRPr="00603FA4">
              <w:rPr>
                <w:rFonts w:ascii="Calibri" w:eastAsia="Times New Roman" w:hAnsi="Calibri" w:cs="Calibri"/>
                <w:lang w:eastAsia="en-GB"/>
              </w:rPr>
              <w:t xml:space="preserve"> for the performance and results of </w:t>
            </w:r>
            <w:r w:rsidR="00DF5253">
              <w:rPr>
                <w:rFonts w:ascii="Calibri" w:eastAsia="Times New Roman" w:hAnsi="Calibri" w:cs="Calibri"/>
                <w:lang w:eastAsia="en-GB"/>
              </w:rPr>
              <w:t>e</w:t>
            </w:r>
            <w:r w:rsidR="00451822">
              <w:rPr>
                <w:rFonts w:ascii="Calibri" w:eastAsia="Times New Roman" w:hAnsi="Calibri" w:cs="Calibri"/>
                <w:lang w:eastAsia="en-GB"/>
              </w:rPr>
              <w:t xml:space="preserve">ngineers </w:t>
            </w:r>
            <w:r w:rsidRPr="00603FA4">
              <w:rPr>
                <w:rFonts w:ascii="Calibri" w:eastAsia="Times New Roman" w:hAnsi="Calibri" w:cs="Calibri"/>
                <w:lang w:eastAsia="en-GB"/>
              </w:rPr>
              <w:t>and junior managers within</w:t>
            </w:r>
            <w:r w:rsidR="00124892">
              <w:rPr>
                <w:rFonts w:ascii="Calibri" w:eastAsia="Times New Roman" w:hAnsi="Calibri" w:cs="Calibri"/>
                <w:lang w:eastAsia="en-GB"/>
              </w:rPr>
              <w:t xml:space="preserve"> the team</w:t>
            </w:r>
            <w:r w:rsidRPr="00603FA4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809BD52" w14:textId="5A118E62" w:rsidR="00013235" w:rsidRDefault="00013235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13235">
              <w:rPr>
                <w:rFonts w:ascii="Calibri" w:eastAsia="Times New Roman" w:hAnsi="Calibri" w:cs="Calibri"/>
                <w:lang w:eastAsia="en-GB"/>
              </w:rPr>
              <w:t xml:space="preserve">Establish clear expectations and priorities to </w:t>
            </w:r>
            <w:r w:rsidR="00B6572B">
              <w:rPr>
                <w:rFonts w:ascii="Calibri" w:eastAsia="Times New Roman" w:hAnsi="Calibri" w:cs="Calibri"/>
                <w:lang w:eastAsia="en-GB"/>
              </w:rPr>
              <w:t>their team</w:t>
            </w:r>
            <w:r w:rsidRPr="00013235">
              <w:rPr>
                <w:rFonts w:ascii="Calibri" w:eastAsia="Times New Roman" w:hAnsi="Calibri" w:cs="Calibri"/>
                <w:lang w:eastAsia="en-GB"/>
              </w:rPr>
              <w:t>. Encourage an environment of continuous improvement, teamwork, and knowledge sharing. Provide development opportunities, feedback, and actively listen to team members</w:t>
            </w:r>
            <w:r w:rsidR="000807A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1734986" w14:textId="3BDDC72D" w:rsidR="0057725B" w:rsidRPr="00647AE1" w:rsidRDefault="00954928" w:rsidP="00BA623F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647AE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7725B" w:rsidRPr="00647AE1">
              <w:rPr>
                <w:rFonts w:ascii="Calibri" w:eastAsia="Times New Roman" w:hAnsi="Calibri" w:cs="Calibri"/>
                <w:lang w:eastAsia="en-GB"/>
              </w:rPr>
              <w:t>Foster a culture of safety, collaboration and high performance within the engineering team.</w:t>
            </w:r>
          </w:p>
          <w:p w14:paraId="6ED8971B" w14:textId="1F15ACDC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Provide </w:t>
            </w:r>
            <w:r w:rsidR="00ED1D34">
              <w:rPr>
                <w:rFonts w:ascii="Calibri" w:eastAsia="Times New Roman" w:hAnsi="Calibri" w:cs="Calibri"/>
                <w:lang w:eastAsia="en-GB"/>
              </w:rPr>
              <w:t>in-</w:t>
            </w:r>
            <w:r w:rsidR="004F1748">
              <w:rPr>
                <w:rFonts w:ascii="Calibri" w:eastAsia="Times New Roman" w:hAnsi="Calibri" w:cs="Calibri"/>
                <w:lang w:eastAsia="en-GB"/>
              </w:rPr>
              <w:t xml:space="preserve">depth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technical guidance, training and career development opportunities for team members</w:t>
            </w:r>
            <w:r w:rsidR="00EC276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629E9B6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Maintenance Management:</w:t>
            </w:r>
          </w:p>
          <w:p w14:paraId="10F7AB2F" w14:textId="3A1091CC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Oversee the planning and execution of preventative, corrective and emergency maintenance activities.</w:t>
            </w:r>
          </w:p>
          <w:p w14:paraId="470D4732" w14:textId="20141732" w:rsidR="00E366E1" w:rsidRPr="004B7650" w:rsidRDefault="00E366E1" w:rsidP="00D71699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4B7650">
              <w:rPr>
                <w:rFonts w:ascii="Calibri" w:eastAsia="Times New Roman" w:hAnsi="Calibri" w:cs="Calibri"/>
                <w:lang w:eastAsia="en-GB"/>
              </w:rPr>
              <w:t>Ensuring all equipment</w:t>
            </w:r>
            <w:r w:rsidR="007F705F" w:rsidRPr="004B7650">
              <w:rPr>
                <w:rFonts w:ascii="Calibri" w:eastAsia="Times New Roman" w:hAnsi="Calibri" w:cs="Calibri"/>
                <w:lang w:eastAsia="en-GB"/>
              </w:rPr>
              <w:t xml:space="preserve">, machinery </w:t>
            </w:r>
            <w:r w:rsidRPr="004B7650">
              <w:rPr>
                <w:rFonts w:ascii="Calibri" w:eastAsia="Times New Roman" w:hAnsi="Calibri" w:cs="Calibri"/>
                <w:lang w:eastAsia="en-GB"/>
              </w:rPr>
              <w:t xml:space="preserve">and buildings are </w:t>
            </w:r>
            <w:r w:rsidR="004B7650" w:rsidRPr="004B7650">
              <w:rPr>
                <w:rFonts w:ascii="Calibri" w:eastAsia="Times New Roman" w:hAnsi="Calibri" w:cs="Calibri"/>
                <w:lang w:eastAsia="en-GB"/>
              </w:rPr>
              <w:t xml:space="preserve">in optimal condition to support production needs, </w:t>
            </w:r>
            <w:r w:rsidRPr="004B7650">
              <w:rPr>
                <w:rFonts w:ascii="Calibri" w:eastAsia="Times New Roman" w:hAnsi="Calibri" w:cs="Calibri"/>
                <w:lang w:eastAsia="en-GB"/>
              </w:rPr>
              <w:t>safe and hazard-free</w:t>
            </w:r>
            <w:r w:rsidR="00B373DA">
              <w:rPr>
                <w:rFonts w:ascii="Calibri" w:eastAsia="Times New Roman" w:hAnsi="Calibri" w:cs="Calibri"/>
                <w:lang w:eastAsia="en-GB"/>
              </w:rPr>
              <w:t>.</w:t>
            </w:r>
            <w:r w:rsidRPr="004B765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373DA">
              <w:rPr>
                <w:rFonts w:ascii="Calibri" w:eastAsia="Times New Roman" w:hAnsi="Calibri" w:cs="Calibri"/>
                <w:lang w:eastAsia="en-GB"/>
              </w:rPr>
              <w:t>T</w:t>
            </w:r>
            <w:r w:rsidRPr="004B7650">
              <w:rPr>
                <w:rFonts w:ascii="Calibri" w:eastAsia="Times New Roman" w:hAnsi="Calibri" w:cs="Calibri"/>
                <w:lang w:eastAsia="en-GB"/>
              </w:rPr>
              <w:t>hey comply with all health and safety and other regulatory and legal requirements, are regularly tested and maintained by appropriately training and qualified individuals.</w:t>
            </w:r>
          </w:p>
          <w:p w14:paraId="29548F78" w14:textId="1D2F07FB" w:rsidR="00740EAA" w:rsidRDefault="00D06767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740EAA">
              <w:rPr>
                <w:rFonts w:ascii="Calibri" w:eastAsia="Times New Roman" w:hAnsi="Calibri" w:cs="Calibri"/>
                <w:lang w:eastAsia="en-GB"/>
              </w:rPr>
              <w:t>Adjusts</w:t>
            </w:r>
            <w:r w:rsidR="004D061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740EAA" w:rsidRPr="00740EAA">
              <w:rPr>
                <w:rFonts w:ascii="Calibri" w:eastAsia="Times New Roman" w:hAnsi="Calibri" w:cs="Calibri"/>
                <w:lang w:eastAsia="en-GB"/>
              </w:rPr>
              <w:t>departmental plans and priorities to address resource and operational challenges.​</w:t>
            </w:r>
          </w:p>
          <w:p w14:paraId="21F3C7DA" w14:textId="4BB9934B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lastRenderedPageBreak/>
              <w:t>Develop and monitor key performance indicators (KPIs) for maintenance effectiveness (e.g., downtime, equipment reliability, etc.).</w:t>
            </w:r>
          </w:p>
          <w:p w14:paraId="463A4E4A" w14:textId="4695FB16" w:rsidR="00DF6F63" w:rsidRPr="002B75DD" w:rsidRDefault="00DF6F63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DF6F63">
              <w:rPr>
                <w:rFonts w:ascii="Calibri" w:eastAsia="Times New Roman" w:hAnsi="Calibri" w:cs="Calibri"/>
                <w:lang w:eastAsia="en-GB"/>
              </w:rPr>
              <w:t xml:space="preserve">Active leadership in daily manufacturing and maintenance team meetings. </w:t>
            </w:r>
            <w:r>
              <w:rPr>
                <w:rFonts w:ascii="Calibri" w:eastAsia="Times New Roman" w:hAnsi="Calibri" w:cs="Calibri"/>
                <w:lang w:eastAsia="en-GB"/>
              </w:rPr>
              <w:t>D</w:t>
            </w:r>
            <w:r w:rsidRPr="00DF6F63">
              <w:rPr>
                <w:rFonts w:ascii="Calibri" w:eastAsia="Times New Roman" w:hAnsi="Calibri" w:cs="Calibri"/>
                <w:lang w:eastAsia="en-GB"/>
              </w:rPr>
              <w:t xml:space="preserve">evelop and implement departmental strategies and plans that are aligned with the </w:t>
            </w:r>
            <w:r w:rsidR="00BF2A67">
              <w:rPr>
                <w:rFonts w:ascii="Calibri" w:eastAsia="Times New Roman" w:hAnsi="Calibri" w:cs="Calibri"/>
                <w:lang w:eastAsia="en-GB"/>
              </w:rPr>
              <w:t>wider business</w:t>
            </w:r>
            <w:r w:rsidRPr="00DF6F63">
              <w:rPr>
                <w:rFonts w:ascii="Calibri" w:eastAsia="Times New Roman" w:hAnsi="Calibri" w:cs="Calibri"/>
                <w:lang w:eastAsia="en-GB"/>
              </w:rPr>
              <w:t xml:space="preserve"> strategy.</w:t>
            </w:r>
          </w:p>
          <w:p w14:paraId="2046B6A3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Project Management:</w:t>
            </w:r>
          </w:p>
          <w:p w14:paraId="53D946C8" w14:textId="75C22185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Manage</w:t>
            </w:r>
            <w:r w:rsidR="00AD49EB">
              <w:rPr>
                <w:rFonts w:ascii="Calibri" w:eastAsia="Times New Roman" w:hAnsi="Calibri" w:cs="Calibri"/>
                <w:lang w:eastAsia="en-GB"/>
              </w:rPr>
              <w:t>/</w:t>
            </w:r>
            <w:r w:rsidR="00885DCB">
              <w:rPr>
                <w:rFonts w:ascii="Calibri" w:eastAsia="Times New Roman" w:hAnsi="Calibri" w:cs="Calibri"/>
                <w:lang w:eastAsia="en-GB"/>
              </w:rPr>
              <w:t>design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 engineering projects including equipment upgrades, facility expansions, or installations.</w:t>
            </w:r>
          </w:p>
          <w:p w14:paraId="7AD68A19" w14:textId="2C546E34" w:rsidR="001F3470" w:rsidRDefault="001F3470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1F3470">
              <w:rPr>
                <w:rFonts w:ascii="Calibri" w:eastAsia="Times New Roman" w:hAnsi="Calibri" w:cs="Calibri"/>
                <w:lang w:eastAsia="en-GB"/>
              </w:rPr>
              <w:t>Prioritise and manage equipment and system improvement projects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17D5001" w14:textId="29FB04C4" w:rsidR="0057725B" w:rsidRDefault="00D6192C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Lead and d</w:t>
            </w:r>
            <w:r w:rsidR="0057725B" w:rsidRPr="002B75DD">
              <w:rPr>
                <w:rFonts w:ascii="Calibri" w:eastAsia="Times New Roman" w:hAnsi="Calibri" w:cs="Calibri"/>
                <w:lang w:eastAsia="en-GB"/>
              </w:rPr>
              <w:t>evelop project timelines, budgets, and resources allocation</w:t>
            </w:r>
            <w:r w:rsidR="00097B01">
              <w:rPr>
                <w:rFonts w:ascii="Calibri" w:eastAsia="Times New Roman" w:hAnsi="Calibri" w:cs="Calibri"/>
                <w:lang w:eastAsia="en-GB"/>
              </w:rPr>
              <w:t xml:space="preserve"> including CAPEX. </w:t>
            </w:r>
          </w:p>
          <w:p w14:paraId="01A4732F" w14:textId="565240B5" w:rsidR="001D1D53" w:rsidRPr="002B75DD" w:rsidRDefault="001D1D53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1D1D53">
              <w:rPr>
                <w:rFonts w:ascii="Calibri" w:eastAsia="Times New Roman" w:hAnsi="Calibri" w:cs="Calibri"/>
                <w:lang w:eastAsia="en-GB"/>
              </w:rPr>
              <w:t xml:space="preserve">Integrate industry best practices to support achievement of </w:t>
            </w:r>
            <w:r w:rsidR="00CC7825">
              <w:rPr>
                <w:rFonts w:ascii="Calibri" w:eastAsia="Times New Roman" w:hAnsi="Calibri" w:cs="Calibri"/>
                <w:lang w:eastAsia="en-GB"/>
              </w:rPr>
              <w:t xml:space="preserve">project </w:t>
            </w:r>
            <w:r w:rsidRPr="001D1D53">
              <w:rPr>
                <w:rFonts w:ascii="Calibri" w:eastAsia="Times New Roman" w:hAnsi="Calibri" w:cs="Calibri"/>
                <w:lang w:eastAsia="en-GB"/>
              </w:rPr>
              <w:t>objectives.</w:t>
            </w:r>
          </w:p>
          <w:p w14:paraId="4F731F0A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Coordinate cross-functional teams to ensure successful and timely project completion.</w:t>
            </w:r>
          </w:p>
          <w:p w14:paraId="0E7A92F6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Continuous Improvement:</w:t>
            </w:r>
          </w:p>
          <w:p w14:paraId="0F64900E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Drive continuous improvement initiatives to optimize production efficiency, reduce downtime, and enhance the overall reliability of brewery operations.</w:t>
            </w:r>
          </w:p>
          <w:p w14:paraId="1FF734C4" w14:textId="45FCB4D0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Analyse root causes of equipment failures</w:t>
            </w:r>
            <w:r w:rsidR="00601CCC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="00601CCC" w:rsidRPr="00601CCC">
              <w:rPr>
                <w:rFonts w:ascii="Calibri" w:eastAsia="Times New Roman" w:hAnsi="Calibri" w:cs="Calibri"/>
                <w:lang w:eastAsia="en-GB"/>
              </w:rPr>
              <w:t xml:space="preserve">complex technical and operational problems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and implement corrective actions.</w:t>
            </w:r>
          </w:p>
          <w:p w14:paraId="69B00836" w14:textId="77777777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Collaborate with production and quality assurance teams to identify opportunities for process optimization.</w:t>
            </w:r>
          </w:p>
          <w:p w14:paraId="784A7BE7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Compliance &amp; Safety:</w:t>
            </w:r>
          </w:p>
          <w:p w14:paraId="5C804C72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Ensure that all engineering activities comply with relevant industry standards, safety regulations, and environmental guidelines.</w:t>
            </w:r>
          </w:p>
          <w:p w14:paraId="4101913F" w14:textId="0C578FC6" w:rsidR="0057725B" w:rsidRPr="005C6B81" w:rsidRDefault="00586254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586254">
              <w:rPr>
                <w:rFonts w:ascii="Calibri" w:eastAsia="Times New Roman" w:hAnsi="Calibri" w:cs="Calibri"/>
                <w:lang w:eastAsia="en-GB"/>
              </w:rPr>
              <w:t xml:space="preserve">Foster </w:t>
            </w:r>
            <w:r w:rsidR="00095D55">
              <w:rPr>
                <w:rFonts w:ascii="Calibri" w:eastAsia="Times New Roman" w:hAnsi="Calibri" w:cs="Calibri"/>
                <w:lang w:eastAsia="en-GB"/>
              </w:rPr>
              <w:t xml:space="preserve">and promote </w:t>
            </w:r>
            <w:r w:rsidRPr="00586254">
              <w:rPr>
                <w:rFonts w:ascii="Calibri" w:eastAsia="Times New Roman" w:hAnsi="Calibri" w:cs="Calibri"/>
                <w:lang w:eastAsia="en-GB"/>
              </w:rPr>
              <w:t>an environment of safety ensuring the well-being of all colleagues and drive efforts to reduce safety risks</w:t>
            </w:r>
            <w:r w:rsidR="005C6B8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7725B" w:rsidRPr="005C6B81">
              <w:rPr>
                <w:rFonts w:ascii="Calibri" w:eastAsia="Times New Roman" w:hAnsi="Calibri" w:cs="Calibri"/>
                <w:lang w:eastAsia="en-GB"/>
              </w:rPr>
              <w:t xml:space="preserve">ensuring that all </w:t>
            </w:r>
            <w:r w:rsidR="005C6B81">
              <w:rPr>
                <w:rFonts w:ascii="Calibri" w:eastAsia="Times New Roman" w:hAnsi="Calibri" w:cs="Calibri"/>
                <w:lang w:eastAsia="en-GB"/>
              </w:rPr>
              <w:t xml:space="preserve">colleagues </w:t>
            </w:r>
            <w:r w:rsidR="0057725B" w:rsidRPr="005C6B81">
              <w:rPr>
                <w:rFonts w:ascii="Calibri" w:eastAsia="Times New Roman" w:hAnsi="Calibri" w:cs="Calibri"/>
                <w:lang w:eastAsia="en-GB"/>
              </w:rPr>
              <w:t xml:space="preserve">adhere to safety protocols and </w:t>
            </w:r>
            <w:r w:rsidR="00C15224">
              <w:rPr>
                <w:rFonts w:ascii="Calibri" w:eastAsia="Times New Roman" w:hAnsi="Calibri" w:cs="Calibri"/>
                <w:lang w:eastAsia="en-GB"/>
              </w:rPr>
              <w:t xml:space="preserve">drives </w:t>
            </w:r>
            <w:r w:rsidR="0057725B" w:rsidRPr="005C6B81">
              <w:rPr>
                <w:rFonts w:ascii="Calibri" w:eastAsia="Times New Roman" w:hAnsi="Calibri" w:cs="Calibri"/>
                <w:lang w:eastAsia="en-GB"/>
              </w:rPr>
              <w:t>best practices.</w:t>
            </w:r>
          </w:p>
          <w:p w14:paraId="742E03F0" w14:textId="16DDB384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Conduct </w:t>
            </w:r>
            <w:r w:rsidR="00EE5E57">
              <w:rPr>
                <w:rFonts w:ascii="Calibri" w:eastAsia="Times New Roman" w:hAnsi="Calibri" w:cs="Calibri"/>
                <w:lang w:eastAsia="en-GB"/>
              </w:rPr>
              <w:t xml:space="preserve">and </w:t>
            </w:r>
            <w:r w:rsidR="000B2592">
              <w:rPr>
                <w:rFonts w:ascii="Calibri" w:eastAsia="Times New Roman" w:hAnsi="Calibri" w:cs="Calibri"/>
                <w:lang w:eastAsia="en-GB"/>
              </w:rPr>
              <w:t xml:space="preserve">present findings and recommendations with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regular safety audits and risk assessments to mitigate hazards.</w:t>
            </w:r>
          </w:p>
          <w:p w14:paraId="158FE470" w14:textId="6EE37F8D" w:rsidR="00025F15" w:rsidRPr="002B75DD" w:rsidRDefault="00480088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Accountable </w:t>
            </w:r>
            <w:r w:rsidR="00743542">
              <w:rPr>
                <w:rFonts w:ascii="Calibri" w:eastAsia="Times New Roman" w:hAnsi="Calibri" w:cs="Calibri"/>
                <w:lang w:eastAsia="en-GB"/>
              </w:rPr>
              <w:t xml:space="preserve">for </w:t>
            </w:r>
            <w:r w:rsidR="00025F15" w:rsidRPr="00025F15">
              <w:rPr>
                <w:rFonts w:ascii="Calibri" w:eastAsia="Times New Roman" w:hAnsi="Calibri" w:cs="Calibri"/>
                <w:lang w:eastAsia="en-GB"/>
              </w:rPr>
              <w:t>all outsourced activities to ensure compliance with company and legal / regulatory standards.</w:t>
            </w:r>
          </w:p>
          <w:p w14:paraId="2459F72A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Budgeting &amp; Cost Management:</w:t>
            </w:r>
          </w:p>
          <w:p w14:paraId="2A6BCC2B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Develop and manage the engineering department’s budget, ensuring cost control and efficient use of resources.</w:t>
            </w:r>
          </w:p>
          <w:p w14:paraId="04845329" w14:textId="77777777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Evaluate and propose cost-saving initiatives without compromising quality or safety.</w:t>
            </w:r>
          </w:p>
          <w:p w14:paraId="2A291DE0" w14:textId="73AAC0F7" w:rsidR="00EC1DA4" w:rsidRPr="002B75DD" w:rsidRDefault="00A44467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EC1DA4" w:rsidRPr="00EC1DA4">
              <w:rPr>
                <w:rFonts w:ascii="Calibri" w:eastAsia="Times New Roman" w:hAnsi="Calibri" w:cs="Calibri"/>
                <w:lang w:eastAsia="en-GB"/>
              </w:rPr>
              <w:t xml:space="preserve">lanning </w:t>
            </w:r>
            <w:r w:rsidR="00073E9C">
              <w:rPr>
                <w:rFonts w:ascii="Calibri" w:eastAsia="Times New Roman" w:hAnsi="Calibri" w:cs="Calibri"/>
                <w:lang w:eastAsia="en-GB"/>
              </w:rPr>
              <w:t xml:space="preserve">of </w:t>
            </w:r>
            <w:r w:rsidR="00EC1DA4" w:rsidRPr="00EC1DA4">
              <w:rPr>
                <w:rFonts w:ascii="Calibri" w:eastAsia="Times New Roman" w:hAnsi="Calibri" w:cs="Calibri"/>
                <w:lang w:eastAsia="en-GB"/>
              </w:rPr>
              <w:t>CAPEX</w:t>
            </w:r>
            <w:r w:rsidR="00073E9C">
              <w:rPr>
                <w:rFonts w:ascii="Calibri" w:eastAsia="Times New Roman" w:hAnsi="Calibri" w:cs="Calibri"/>
                <w:lang w:eastAsia="en-GB"/>
              </w:rPr>
              <w:t xml:space="preserve"> projects</w:t>
            </w:r>
            <w:r w:rsidR="009100D7">
              <w:rPr>
                <w:rFonts w:ascii="Calibri" w:eastAsia="Times New Roman" w:hAnsi="Calibri" w:cs="Calibri"/>
                <w:lang w:eastAsia="en-GB"/>
              </w:rPr>
              <w:t xml:space="preserve"> within agreed budget.</w:t>
            </w:r>
          </w:p>
          <w:p w14:paraId="6376EE96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Vendor &amp; Supplier Management:</w:t>
            </w:r>
          </w:p>
          <w:p w14:paraId="64ABCE27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Manage relationships with external vendors, suppliers, and contractors for equipment procurement, parts, and services.</w:t>
            </w:r>
          </w:p>
          <w:p w14:paraId="2E1089F5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Negotiate contracts and ensure that external partners meet performance and quality standards.</w:t>
            </w:r>
          </w:p>
          <w:p w14:paraId="4B894309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Reporting &amp; Documentation:</w:t>
            </w:r>
          </w:p>
          <w:p w14:paraId="6BDD9199" w14:textId="77777777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Maintain accurate records of maintenance activities, asset conditions, and engineering projects.</w:t>
            </w:r>
          </w:p>
          <w:p w14:paraId="2E2798EA" w14:textId="5662806B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Prepare and present regular reports on the status of engineering operations, project progress, and key performance metrics </w:t>
            </w:r>
            <w:r w:rsidR="0087466C">
              <w:rPr>
                <w:rFonts w:ascii="Calibri" w:eastAsia="Times New Roman" w:hAnsi="Calibri" w:cs="Calibri"/>
                <w:lang w:eastAsia="en-GB"/>
              </w:rPr>
              <w:t xml:space="preserve">and benchmarks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to senior management.</w:t>
            </w:r>
          </w:p>
          <w:p w14:paraId="7A138AED" w14:textId="78EB7BA1" w:rsidR="00222E7A" w:rsidRPr="0077519E" w:rsidRDefault="00222E7A" w:rsidP="00D71699">
            <w:pPr>
              <w:ind w:left="720"/>
              <w:jc w:val="both"/>
            </w:pPr>
          </w:p>
        </w:tc>
      </w:tr>
    </w:tbl>
    <w:p w14:paraId="68EEC7B9" w14:textId="77777777" w:rsidR="00511527" w:rsidRDefault="00511527" w:rsidP="00D71699">
      <w:pPr>
        <w:jc w:val="both"/>
      </w:pPr>
    </w:p>
    <w:p w14:paraId="79FD6E50" w14:textId="77777777" w:rsidR="007E6EE6" w:rsidRPr="0077519E" w:rsidRDefault="007E6EE6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248A5DF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B70E192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Key Stakeholders</w:t>
            </w:r>
          </w:p>
        </w:tc>
      </w:tr>
      <w:tr w:rsidR="00641B61" w:rsidRPr="0077519E" w14:paraId="1FD7F4E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3862433" w14:textId="15BE288F" w:rsidR="000965EB" w:rsidRPr="0077519E" w:rsidRDefault="00641B61" w:rsidP="00D71699">
            <w:pPr>
              <w:jc w:val="both"/>
            </w:pPr>
            <w:r w:rsidRPr="0077519E">
              <w:rPr>
                <w:b/>
              </w:rPr>
              <w:t>Internal</w:t>
            </w:r>
            <w:r w:rsidR="00370AB5" w:rsidRPr="0077519E">
              <w:rPr>
                <w:b/>
              </w:rPr>
              <w:t xml:space="preserve"> </w:t>
            </w:r>
            <w:r w:rsidR="0077519E" w:rsidRPr="0077519E">
              <w:rPr>
                <w:b/>
              </w:rPr>
              <w:t>–</w:t>
            </w:r>
            <w:r w:rsidR="00370AB5" w:rsidRPr="0077519E">
              <w:rPr>
                <w:b/>
              </w:rPr>
              <w:t xml:space="preserve"> </w:t>
            </w:r>
            <w:r w:rsidR="0077519E" w:rsidRPr="0077519E">
              <w:t xml:space="preserve">  </w:t>
            </w:r>
            <w:r w:rsidR="00350839" w:rsidRPr="00350839">
              <w:t>Site Operations Manager</w:t>
            </w:r>
            <w:r w:rsidR="00350839">
              <w:t xml:space="preserve">, </w:t>
            </w:r>
            <w:r w:rsidR="0077519E" w:rsidRPr="0077519E">
              <w:t>Site Leadership Team, Production team</w:t>
            </w:r>
            <w:r w:rsidR="00BC581E">
              <w:t>s</w:t>
            </w:r>
            <w:r w:rsidR="00570F17">
              <w:t xml:space="preserve">, </w:t>
            </w:r>
            <w:r w:rsidR="00BC581E">
              <w:t xml:space="preserve"> </w:t>
            </w:r>
            <w:r w:rsidR="008A137B">
              <w:t xml:space="preserve">Warehouse, </w:t>
            </w:r>
            <w:r w:rsidR="00223484">
              <w:t xml:space="preserve">EHS, </w:t>
            </w:r>
            <w:r w:rsidR="005E7A0A" w:rsidRPr="005E7A0A">
              <w:t>Procurement</w:t>
            </w:r>
            <w:r w:rsidR="008A137B">
              <w:t>,</w:t>
            </w:r>
            <w:r w:rsidR="005E7A0A" w:rsidRPr="005E7A0A">
              <w:t xml:space="preserve"> </w:t>
            </w:r>
            <w:r w:rsidR="00570F17" w:rsidRPr="00570F17">
              <w:t xml:space="preserve">Environmental </w:t>
            </w:r>
            <w:r w:rsidR="00350839">
              <w:t>team,</w:t>
            </w:r>
            <w:r w:rsidR="000534B0">
              <w:t xml:space="preserve"> </w:t>
            </w:r>
            <w:r w:rsidR="000965EB">
              <w:t>Quality</w:t>
            </w:r>
            <w:r w:rsidR="008A137B">
              <w:t>,</w:t>
            </w:r>
            <w:r w:rsidR="00312EB7">
              <w:t xml:space="preserve"> Finance</w:t>
            </w:r>
            <w:r w:rsidR="00223484">
              <w:t>.</w:t>
            </w:r>
          </w:p>
          <w:p w14:paraId="0BC1AB5E" w14:textId="77777777" w:rsidR="00CD13A2" w:rsidRPr="0077519E" w:rsidRDefault="00CD13A2" w:rsidP="00D71699">
            <w:pPr>
              <w:jc w:val="both"/>
            </w:pPr>
          </w:p>
        </w:tc>
      </w:tr>
      <w:tr w:rsidR="00511527" w:rsidRPr="0077519E" w14:paraId="7BE527F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ADB7E97" w14:textId="1081BE21" w:rsidR="00511527" w:rsidRPr="0077519E" w:rsidRDefault="00511527" w:rsidP="002B5391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External </w:t>
            </w:r>
            <w:r w:rsidR="008F1E64">
              <w:rPr>
                <w:b/>
              </w:rPr>
              <w:t>–</w:t>
            </w:r>
            <w:r w:rsidR="00370AB5" w:rsidRPr="0077519E">
              <w:rPr>
                <w:b/>
              </w:rPr>
              <w:t xml:space="preserve"> </w:t>
            </w:r>
            <w:r w:rsidR="008F1E64" w:rsidRPr="0041314E">
              <w:rPr>
                <w:bCs/>
              </w:rPr>
              <w:t xml:space="preserve">Contractors, </w:t>
            </w:r>
            <w:r w:rsidR="00570F17" w:rsidRPr="0041314E">
              <w:rPr>
                <w:bCs/>
              </w:rPr>
              <w:t>Suppliers</w:t>
            </w:r>
            <w:r w:rsidR="000657F8">
              <w:rPr>
                <w:bCs/>
              </w:rPr>
              <w:t xml:space="preserve">, </w:t>
            </w:r>
            <w:r w:rsidR="00E02009">
              <w:rPr>
                <w:bCs/>
              </w:rPr>
              <w:t>T</w:t>
            </w:r>
            <w:r w:rsidR="000657F8">
              <w:rPr>
                <w:bCs/>
              </w:rPr>
              <w:t>hird party service providers</w:t>
            </w:r>
            <w:r w:rsidR="002B5391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Government bodies</w:t>
            </w:r>
            <w:r w:rsidR="002B5391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Inspecting organisations</w:t>
            </w:r>
            <w:r w:rsidR="00F46A75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Licensing organisations</w:t>
            </w:r>
            <w:r w:rsidR="00F46A75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Public utilities</w:t>
            </w:r>
            <w:r w:rsidR="00F46A75">
              <w:rPr>
                <w:bCs/>
              </w:rPr>
              <w:t>.</w:t>
            </w:r>
          </w:p>
          <w:p w14:paraId="11942892" w14:textId="77777777" w:rsidR="00CD13A2" w:rsidRPr="0077519E" w:rsidRDefault="00CD13A2" w:rsidP="00D71699">
            <w:pPr>
              <w:jc w:val="both"/>
            </w:pPr>
          </w:p>
        </w:tc>
      </w:tr>
    </w:tbl>
    <w:p w14:paraId="213B91D7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:rsidRPr="0077519E" w14:paraId="6958B912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556ADDD" w14:textId="77777777" w:rsidR="00CD13A2" w:rsidRPr="0077519E" w:rsidRDefault="00CD13A2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Skills</w:t>
            </w:r>
          </w:p>
        </w:tc>
      </w:tr>
      <w:tr w:rsidR="004A2537" w:rsidRPr="0077519E" w14:paraId="6C0EF83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029A68B" w14:textId="77777777" w:rsidR="00231DFD" w:rsidRPr="002B75DD" w:rsidRDefault="00231DFD" w:rsidP="00D7169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Skills &amp; Abilities:</w:t>
            </w:r>
          </w:p>
          <w:p w14:paraId="48E6E6AE" w14:textId="066E65E0" w:rsidR="00231DFD" w:rsidRPr="00B81CCD" w:rsidRDefault="0099718C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B81CCD">
              <w:rPr>
                <w:rFonts w:ascii="Calibri" w:eastAsia="Times New Roman" w:hAnsi="Calibri" w:cs="Calibri"/>
                <w:lang w:eastAsia="en-GB"/>
              </w:rPr>
              <w:t>*</w:t>
            </w:r>
            <w:r w:rsidR="00231DFD" w:rsidRPr="00B81CCD">
              <w:rPr>
                <w:rFonts w:ascii="Calibri" w:eastAsia="Times New Roman" w:hAnsi="Calibri" w:cs="Calibri"/>
                <w:lang w:eastAsia="en-GB"/>
              </w:rPr>
              <w:t>In-depth knowledge of equipment maintenance, troubleshooting, and repair practices.</w:t>
            </w:r>
            <w:r>
              <w:t xml:space="preserve"> </w:t>
            </w:r>
            <w:r w:rsidR="00B81CCD">
              <w:t>*</w:t>
            </w:r>
            <w:r w:rsidRPr="00B81CCD">
              <w:rPr>
                <w:rFonts w:ascii="Calibri" w:eastAsia="Times New Roman" w:hAnsi="Calibri" w:cs="Calibri"/>
                <w:lang w:eastAsia="en-GB"/>
              </w:rPr>
              <w:t>Hands-on mechanical and electrical knowledge of equipment,</w:t>
            </w:r>
          </w:p>
          <w:p w14:paraId="5D2C864A" w14:textId="64DDF68D" w:rsidR="00231DFD" w:rsidRPr="002B75DD" w:rsidRDefault="00231DFD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S</w:t>
            </w:r>
            <w:r w:rsidR="00DF2CC3">
              <w:rPr>
                <w:rFonts w:ascii="Calibri" w:eastAsia="Times New Roman" w:hAnsi="Calibri" w:cs="Calibri"/>
                <w:lang w:eastAsia="en-GB"/>
              </w:rPr>
              <w:t>olid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 leadership, interpersonal, and communication skills</w:t>
            </w:r>
            <w:r w:rsidR="00CC227C">
              <w:rPr>
                <w:rFonts w:ascii="Calibri" w:eastAsia="Times New Roman" w:hAnsi="Calibri" w:cs="Calibri"/>
                <w:lang w:eastAsia="en-GB"/>
              </w:rPr>
              <w:t xml:space="preserve"> able to </w:t>
            </w:r>
            <w:r w:rsidR="00DC0BED" w:rsidRPr="00DC0BED">
              <w:rPr>
                <w:rFonts w:ascii="Calibri" w:eastAsia="Times New Roman" w:hAnsi="Calibri" w:cs="Calibri"/>
                <w:lang w:eastAsia="en-GB"/>
              </w:rPr>
              <w:t>demonstrate strong judgment</w:t>
            </w:r>
            <w:r w:rsidR="00CC227C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028A000" w14:textId="77777777" w:rsidR="00231DFD" w:rsidRDefault="00231DFD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Ability to manage multiple priorities, projects, and deadlines in a fast-paced environment.</w:t>
            </w:r>
          </w:p>
          <w:p w14:paraId="6BD9CB7F" w14:textId="1A3BE86F" w:rsidR="005B5620" w:rsidRDefault="005B5620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Ab</w:t>
            </w:r>
            <w:r w:rsidR="00DF02F0">
              <w:rPr>
                <w:rFonts w:ascii="Calibri" w:eastAsia="Times New Roman" w:hAnsi="Calibri" w:cs="Calibri"/>
                <w:lang w:eastAsia="en-GB"/>
              </w:rPr>
              <w:t xml:space="preserve">ility to drive change, through positive communication </w:t>
            </w:r>
            <w:r w:rsidR="001D22B0">
              <w:rPr>
                <w:rFonts w:ascii="Calibri" w:eastAsia="Times New Roman" w:hAnsi="Calibri" w:cs="Calibri"/>
                <w:lang w:eastAsia="en-GB"/>
              </w:rPr>
              <w:t>channels.</w:t>
            </w:r>
          </w:p>
          <w:p w14:paraId="3BF4BDC3" w14:textId="174F513E" w:rsidR="00E716D5" w:rsidRPr="002B75DD" w:rsidRDefault="00E716D5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Ability to </w:t>
            </w:r>
            <w:r w:rsidR="00E54666">
              <w:rPr>
                <w:rFonts w:ascii="Calibri" w:eastAsia="Times New Roman" w:hAnsi="Calibri" w:cs="Calibri"/>
                <w:lang w:eastAsia="en-GB"/>
              </w:rPr>
              <w:t xml:space="preserve">challenge </w:t>
            </w:r>
            <w:r w:rsidR="00CC49CC">
              <w:rPr>
                <w:rFonts w:ascii="Calibri" w:eastAsia="Times New Roman" w:hAnsi="Calibri" w:cs="Calibri"/>
                <w:lang w:eastAsia="en-GB"/>
              </w:rPr>
              <w:t>and</w:t>
            </w:r>
            <w:r w:rsidR="00CC49CC" w:rsidRPr="00CC49CC">
              <w:rPr>
                <w:rFonts w:ascii="Calibri" w:eastAsia="Times New Roman" w:hAnsi="Calibri" w:cs="Calibri"/>
                <w:lang w:eastAsia="en-GB"/>
              </w:rPr>
              <w:t xml:space="preserve"> influence </w:t>
            </w:r>
            <w:r w:rsidR="00E54666">
              <w:rPr>
                <w:rFonts w:ascii="Calibri" w:eastAsia="Times New Roman" w:hAnsi="Calibri" w:cs="Calibri"/>
                <w:lang w:eastAsia="en-GB"/>
              </w:rPr>
              <w:t xml:space="preserve">at all levels to </w:t>
            </w:r>
            <w:r w:rsidR="00B13EB5">
              <w:rPr>
                <w:rFonts w:ascii="Calibri" w:eastAsia="Times New Roman" w:hAnsi="Calibri" w:cs="Calibri"/>
                <w:lang w:eastAsia="en-GB"/>
              </w:rPr>
              <w:t xml:space="preserve">encourage positive change. </w:t>
            </w:r>
          </w:p>
          <w:p w14:paraId="018ECEAF" w14:textId="77777777" w:rsidR="00231DFD" w:rsidRPr="002B75DD" w:rsidRDefault="00231DFD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Proficiency in using maintenance management software (CMMS), MS Office Suite, and other relevant tools.</w:t>
            </w:r>
          </w:p>
          <w:p w14:paraId="7ED92936" w14:textId="2BCA29ED" w:rsidR="00255557" w:rsidRPr="0077519E" w:rsidRDefault="00231DFD" w:rsidP="0041314E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cs="Calibri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Strong analytical and problem-solving skills, with a data-driven approach to decision-making.</w:t>
            </w:r>
          </w:p>
        </w:tc>
      </w:tr>
    </w:tbl>
    <w:p w14:paraId="15567E01" w14:textId="77777777" w:rsidR="00CD13A2" w:rsidRPr="0077519E" w:rsidRDefault="00CD13A2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:rsidRPr="0077519E" w14:paraId="7472D2FB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22C9C3E" w14:textId="77777777" w:rsidR="00641B61" w:rsidRPr="0077519E" w:rsidRDefault="00641B61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Experience and Qualifications</w:t>
            </w:r>
          </w:p>
        </w:tc>
      </w:tr>
      <w:tr w:rsidR="00641B61" w:rsidRPr="0077519E" w14:paraId="106F06ED" w14:textId="77777777" w:rsidTr="0077519E">
        <w:trPr>
          <w:trHeight w:val="1383"/>
        </w:trPr>
        <w:tc>
          <w:tcPr>
            <w:tcW w:w="9242" w:type="dxa"/>
            <w:shd w:val="clear" w:color="auto" w:fill="F2F2F2" w:themeFill="background1" w:themeFillShade="F2"/>
          </w:tcPr>
          <w:p w14:paraId="599C7687" w14:textId="77777777" w:rsidR="002B0755" w:rsidRPr="002B75DD" w:rsidRDefault="002B0755" w:rsidP="00D7169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Education:</w:t>
            </w:r>
          </w:p>
          <w:p w14:paraId="627BFCC5" w14:textId="77777777" w:rsidR="002B0755" w:rsidRPr="002B75DD" w:rsidRDefault="002B0755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Degree-level qualification in a relevant discipline (or equivalent experience).</w:t>
            </w:r>
          </w:p>
          <w:p w14:paraId="499D08B4" w14:textId="77777777" w:rsidR="002B0755" w:rsidRPr="002B75DD" w:rsidRDefault="002B0755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Professional certifications in engineering management or maintenance (e.g., Six Sigma, PMP) are a plus.</w:t>
            </w:r>
          </w:p>
          <w:p w14:paraId="2863B3E3" w14:textId="77777777" w:rsidR="002B0755" w:rsidRPr="002B75DD" w:rsidRDefault="002B0755" w:rsidP="00D7169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Experience:</w:t>
            </w:r>
          </w:p>
          <w:p w14:paraId="13F8E4C8" w14:textId="77777777" w:rsidR="002B0755" w:rsidRPr="002B75DD" w:rsidRDefault="002B0755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Minimum of 5-7 years of experience in engineering or maintenance management, with at least 2 years in a leadership role within a manufacturing environment (preferably in food, beverage, or brewery industries).</w:t>
            </w:r>
          </w:p>
          <w:p w14:paraId="2C4C914D" w14:textId="6F53B146" w:rsidR="00B0446E" w:rsidRPr="00F375E9" w:rsidRDefault="002B0755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Strong understanding of brewing equipment and manufacturing processes is highly desirable.</w:t>
            </w:r>
          </w:p>
        </w:tc>
      </w:tr>
    </w:tbl>
    <w:p w14:paraId="0E695E4F" w14:textId="77777777" w:rsidR="00641B61" w:rsidRPr="0077519E" w:rsidRDefault="00641B61" w:rsidP="0041314E">
      <w:pPr>
        <w:jc w:val="both"/>
      </w:pPr>
    </w:p>
    <w:sectPr w:rsidR="00641B61" w:rsidRPr="0077519E" w:rsidSect="00ED03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586E" w14:textId="77777777" w:rsidR="006B3090" w:rsidRDefault="006B3090" w:rsidP="00511527">
      <w:pPr>
        <w:spacing w:after="0" w:line="240" w:lineRule="auto"/>
      </w:pPr>
      <w:r>
        <w:separator/>
      </w:r>
    </w:p>
  </w:endnote>
  <w:endnote w:type="continuationSeparator" w:id="0">
    <w:p w14:paraId="432276AC" w14:textId="77777777" w:rsidR="006B3090" w:rsidRDefault="006B3090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454A" w14:textId="77777777" w:rsidR="0015532A" w:rsidRPr="0015532A" w:rsidRDefault="0015532A">
    <w:pPr>
      <w:pStyle w:val="Footer"/>
      <w:rPr>
        <w:b/>
        <w:sz w:val="18"/>
      </w:rPr>
    </w:pPr>
    <w:r w:rsidRPr="0015532A">
      <w:rPr>
        <w:b/>
        <w:sz w:val="18"/>
      </w:rPr>
      <w:t xml:space="preserve">HR Ref: </w:t>
    </w:r>
    <w:r w:rsidR="00817766">
      <w:rPr>
        <w:b/>
        <w:sz w:val="18"/>
      </w:rPr>
      <w:t>CCC7FY18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C1F4D" w14:textId="77777777" w:rsidR="006B3090" w:rsidRDefault="006B3090" w:rsidP="00511527">
      <w:pPr>
        <w:spacing w:after="0" w:line="240" w:lineRule="auto"/>
      </w:pPr>
      <w:r>
        <w:separator/>
      </w:r>
    </w:p>
  </w:footnote>
  <w:footnote w:type="continuationSeparator" w:id="0">
    <w:p w14:paraId="74706307" w14:textId="77777777" w:rsidR="006B3090" w:rsidRDefault="006B3090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D6AA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E5639E1" wp14:editId="5CF75A0F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70"/>
    <w:multiLevelType w:val="multilevel"/>
    <w:tmpl w:val="0C4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9DD"/>
    <w:multiLevelType w:val="hybridMultilevel"/>
    <w:tmpl w:val="E65848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094C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434"/>
    <w:multiLevelType w:val="hybridMultilevel"/>
    <w:tmpl w:val="D6FAE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3109"/>
    <w:multiLevelType w:val="hybridMultilevel"/>
    <w:tmpl w:val="BBD68FC6"/>
    <w:lvl w:ilvl="0" w:tplc="463AA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6C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0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E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A3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C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4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A7062"/>
    <w:multiLevelType w:val="hybridMultilevel"/>
    <w:tmpl w:val="E69A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4C3"/>
    <w:multiLevelType w:val="hybridMultilevel"/>
    <w:tmpl w:val="9578BEAC"/>
    <w:lvl w:ilvl="0" w:tplc="BF56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4E75"/>
    <w:multiLevelType w:val="multilevel"/>
    <w:tmpl w:val="5C9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2619"/>
    <w:multiLevelType w:val="hybridMultilevel"/>
    <w:tmpl w:val="9816F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13115">
    <w:abstractNumId w:val="11"/>
  </w:num>
  <w:num w:numId="2" w16cid:durableId="1319453337">
    <w:abstractNumId w:val="3"/>
  </w:num>
  <w:num w:numId="3" w16cid:durableId="1896892782">
    <w:abstractNumId w:val="1"/>
  </w:num>
  <w:num w:numId="4" w16cid:durableId="755631660">
    <w:abstractNumId w:val="9"/>
  </w:num>
  <w:num w:numId="5" w16cid:durableId="307974353">
    <w:abstractNumId w:val="12"/>
  </w:num>
  <w:num w:numId="6" w16cid:durableId="1636446863">
    <w:abstractNumId w:val="6"/>
  </w:num>
  <w:num w:numId="7" w16cid:durableId="7489000">
    <w:abstractNumId w:val="10"/>
  </w:num>
  <w:num w:numId="8" w16cid:durableId="1574970385">
    <w:abstractNumId w:val="4"/>
  </w:num>
  <w:num w:numId="9" w16cid:durableId="1257137148">
    <w:abstractNumId w:val="7"/>
  </w:num>
  <w:num w:numId="10" w16cid:durableId="1535076759">
    <w:abstractNumId w:val="2"/>
  </w:num>
  <w:num w:numId="11" w16cid:durableId="1263608937">
    <w:abstractNumId w:val="8"/>
  </w:num>
  <w:num w:numId="12" w16cid:durableId="1373189962">
    <w:abstractNumId w:val="0"/>
  </w:num>
  <w:num w:numId="13" w16cid:durableId="1328054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0634"/>
    <w:rsid w:val="00011102"/>
    <w:rsid w:val="00013235"/>
    <w:rsid w:val="00017691"/>
    <w:rsid w:val="00025F15"/>
    <w:rsid w:val="000534B0"/>
    <w:rsid w:val="000558E3"/>
    <w:rsid w:val="00064132"/>
    <w:rsid w:val="000657F8"/>
    <w:rsid w:val="00070188"/>
    <w:rsid w:val="00073E9C"/>
    <w:rsid w:val="000807A8"/>
    <w:rsid w:val="00095D55"/>
    <w:rsid w:val="000965EB"/>
    <w:rsid w:val="00097B01"/>
    <w:rsid w:val="000B2592"/>
    <w:rsid w:val="000B34D9"/>
    <w:rsid w:val="000E31B8"/>
    <w:rsid w:val="000F4E62"/>
    <w:rsid w:val="00105C2C"/>
    <w:rsid w:val="0011104C"/>
    <w:rsid w:val="001218FA"/>
    <w:rsid w:val="00124892"/>
    <w:rsid w:val="00130F9B"/>
    <w:rsid w:val="0015532A"/>
    <w:rsid w:val="00157EC7"/>
    <w:rsid w:val="00182835"/>
    <w:rsid w:val="00193025"/>
    <w:rsid w:val="001B2311"/>
    <w:rsid w:val="001D1D53"/>
    <w:rsid w:val="001D22B0"/>
    <w:rsid w:val="001D5CE6"/>
    <w:rsid w:val="001F1AE8"/>
    <w:rsid w:val="001F3470"/>
    <w:rsid w:val="00201380"/>
    <w:rsid w:val="002016A0"/>
    <w:rsid w:val="002028DD"/>
    <w:rsid w:val="00222E7A"/>
    <w:rsid w:val="00223484"/>
    <w:rsid w:val="002264F6"/>
    <w:rsid w:val="00231DFD"/>
    <w:rsid w:val="00255557"/>
    <w:rsid w:val="00261685"/>
    <w:rsid w:val="002B0755"/>
    <w:rsid w:val="002B5391"/>
    <w:rsid w:val="002C78A9"/>
    <w:rsid w:val="002E1917"/>
    <w:rsid w:val="00312EB7"/>
    <w:rsid w:val="00350839"/>
    <w:rsid w:val="00362F30"/>
    <w:rsid w:val="00370AB5"/>
    <w:rsid w:val="003916B6"/>
    <w:rsid w:val="003A7205"/>
    <w:rsid w:val="003C2852"/>
    <w:rsid w:val="0041314E"/>
    <w:rsid w:val="00426AC5"/>
    <w:rsid w:val="004340E9"/>
    <w:rsid w:val="00440C47"/>
    <w:rsid w:val="00451822"/>
    <w:rsid w:val="004576F7"/>
    <w:rsid w:val="00467190"/>
    <w:rsid w:val="00473B2F"/>
    <w:rsid w:val="00480088"/>
    <w:rsid w:val="00481EF9"/>
    <w:rsid w:val="00485293"/>
    <w:rsid w:val="004A2537"/>
    <w:rsid w:val="004B4853"/>
    <w:rsid w:val="004B7650"/>
    <w:rsid w:val="004D061C"/>
    <w:rsid w:val="004D4B1C"/>
    <w:rsid w:val="004F1748"/>
    <w:rsid w:val="004F749A"/>
    <w:rsid w:val="0051050D"/>
    <w:rsid w:val="00511527"/>
    <w:rsid w:val="00542D26"/>
    <w:rsid w:val="00570F17"/>
    <w:rsid w:val="0057343E"/>
    <w:rsid w:val="0057725B"/>
    <w:rsid w:val="00581757"/>
    <w:rsid w:val="00586254"/>
    <w:rsid w:val="005B11FB"/>
    <w:rsid w:val="005B5620"/>
    <w:rsid w:val="005C62AB"/>
    <w:rsid w:val="005C6B81"/>
    <w:rsid w:val="005E7A0A"/>
    <w:rsid w:val="00601CCC"/>
    <w:rsid w:val="00603FA4"/>
    <w:rsid w:val="00635594"/>
    <w:rsid w:val="00635E05"/>
    <w:rsid w:val="00637A89"/>
    <w:rsid w:val="00641B61"/>
    <w:rsid w:val="00647AE1"/>
    <w:rsid w:val="00662278"/>
    <w:rsid w:val="00665CCF"/>
    <w:rsid w:val="006702CE"/>
    <w:rsid w:val="006B3090"/>
    <w:rsid w:val="006C0762"/>
    <w:rsid w:val="006E07F6"/>
    <w:rsid w:val="00701C2D"/>
    <w:rsid w:val="00740EAA"/>
    <w:rsid w:val="00743542"/>
    <w:rsid w:val="007511F6"/>
    <w:rsid w:val="007613DC"/>
    <w:rsid w:val="00765CDC"/>
    <w:rsid w:val="00771819"/>
    <w:rsid w:val="0077519E"/>
    <w:rsid w:val="007C5554"/>
    <w:rsid w:val="007D327B"/>
    <w:rsid w:val="007E6EE6"/>
    <w:rsid w:val="007F705F"/>
    <w:rsid w:val="0081722A"/>
    <w:rsid w:val="00817766"/>
    <w:rsid w:val="00842382"/>
    <w:rsid w:val="00842B88"/>
    <w:rsid w:val="008568E2"/>
    <w:rsid w:val="0085699D"/>
    <w:rsid w:val="0087466C"/>
    <w:rsid w:val="00882052"/>
    <w:rsid w:val="00883215"/>
    <w:rsid w:val="00885DCB"/>
    <w:rsid w:val="008A137B"/>
    <w:rsid w:val="008B15A1"/>
    <w:rsid w:val="008D2013"/>
    <w:rsid w:val="008E215B"/>
    <w:rsid w:val="008F1E64"/>
    <w:rsid w:val="008F39D6"/>
    <w:rsid w:val="009100D7"/>
    <w:rsid w:val="009459AA"/>
    <w:rsid w:val="00954928"/>
    <w:rsid w:val="009561D2"/>
    <w:rsid w:val="0097030D"/>
    <w:rsid w:val="0099718C"/>
    <w:rsid w:val="00A44467"/>
    <w:rsid w:val="00A5620E"/>
    <w:rsid w:val="00AB5383"/>
    <w:rsid w:val="00AC01C9"/>
    <w:rsid w:val="00AD49EB"/>
    <w:rsid w:val="00AE52AC"/>
    <w:rsid w:val="00AF5F9B"/>
    <w:rsid w:val="00B0446E"/>
    <w:rsid w:val="00B05FA8"/>
    <w:rsid w:val="00B13EB5"/>
    <w:rsid w:val="00B2195F"/>
    <w:rsid w:val="00B373DA"/>
    <w:rsid w:val="00B60024"/>
    <w:rsid w:val="00B61199"/>
    <w:rsid w:val="00B6572B"/>
    <w:rsid w:val="00B81CCD"/>
    <w:rsid w:val="00BC581E"/>
    <w:rsid w:val="00BF003E"/>
    <w:rsid w:val="00BF2A67"/>
    <w:rsid w:val="00C00A50"/>
    <w:rsid w:val="00C15224"/>
    <w:rsid w:val="00C4172E"/>
    <w:rsid w:val="00C502F5"/>
    <w:rsid w:val="00C5587F"/>
    <w:rsid w:val="00C967CB"/>
    <w:rsid w:val="00CA5BEF"/>
    <w:rsid w:val="00CB481C"/>
    <w:rsid w:val="00CC227C"/>
    <w:rsid w:val="00CC49CC"/>
    <w:rsid w:val="00CC7825"/>
    <w:rsid w:val="00CD13A2"/>
    <w:rsid w:val="00CD33A8"/>
    <w:rsid w:val="00CF0484"/>
    <w:rsid w:val="00CF0B9F"/>
    <w:rsid w:val="00D06767"/>
    <w:rsid w:val="00D1533C"/>
    <w:rsid w:val="00D16D03"/>
    <w:rsid w:val="00D353F0"/>
    <w:rsid w:val="00D4625E"/>
    <w:rsid w:val="00D6192C"/>
    <w:rsid w:val="00D64A10"/>
    <w:rsid w:val="00D71699"/>
    <w:rsid w:val="00D721C3"/>
    <w:rsid w:val="00D801A3"/>
    <w:rsid w:val="00D83D3A"/>
    <w:rsid w:val="00DB2370"/>
    <w:rsid w:val="00DC0BED"/>
    <w:rsid w:val="00DC22F6"/>
    <w:rsid w:val="00DF02F0"/>
    <w:rsid w:val="00DF2CC3"/>
    <w:rsid w:val="00DF5253"/>
    <w:rsid w:val="00DF6F63"/>
    <w:rsid w:val="00E02009"/>
    <w:rsid w:val="00E03D4D"/>
    <w:rsid w:val="00E07648"/>
    <w:rsid w:val="00E36495"/>
    <w:rsid w:val="00E366E1"/>
    <w:rsid w:val="00E54666"/>
    <w:rsid w:val="00E55B36"/>
    <w:rsid w:val="00E66070"/>
    <w:rsid w:val="00E716D5"/>
    <w:rsid w:val="00E75FEE"/>
    <w:rsid w:val="00EC1DA4"/>
    <w:rsid w:val="00EC2760"/>
    <w:rsid w:val="00EC533A"/>
    <w:rsid w:val="00ED037C"/>
    <w:rsid w:val="00ED1D34"/>
    <w:rsid w:val="00EE5E57"/>
    <w:rsid w:val="00F1705B"/>
    <w:rsid w:val="00F23E42"/>
    <w:rsid w:val="00F241B9"/>
    <w:rsid w:val="00F375E9"/>
    <w:rsid w:val="00F46A75"/>
    <w:rsid w:val="00F54D35"/>
    <w:rsid w:val="00F5537E"/>
    <w:rsid w:val="00F61072"/>
    <w:rsid w:val="00F67A76"/>
    <w:rsid w:val="00F90860"/>
    <w:rsid w:val="00FB5115"/>
    <w:rsid w:val="00FC2880"/>
    <w:rsid w:val="00FC5B01"/>
    <w:rsid w:val="00FD4A8F"/>
    <w:rsid w:val="00FD5DC0"/>
    <w:rsid w:val="00FE2DA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C6A6"/>
  <w15:docId w15:val="{622C9237-3B0C-4F5E-8065-06322F4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Sharron Clancy</cp:lastModifiedBy>
  <cp:revision>139</cp:revision>
  <cp:lastPrinted>2025-03-18T16:00:00Z</cp:lastPrinted>
  <dcterms:created xsi:type="dcterms:W3CDTF">2025-03-18T14:18:00Z</dcterms:created>
  <dcterms:modified xsi:type="dcterms:W3CDTF">2025-03-20T09:36:00Z</dcterms:modified>
</cp:coreProperties>
</file>