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79"/>
        <w:gridCol w:w="3064"/>
        <w:gridCol w:w="1181"/>
        <w:gridCol w:w="3811"/>
        <w:gridCol w:w="161"/>
      </w:tblGrid>
      <w:tr w:rsidR="00E94CF0" w:rsidRPr="00A27799" w14:paraId="64576597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1591AD59" w:rsidR="00B05272" w:rsidRPr="00454C5A" w:rsidRDefault="001E79C1" w:rsidP="00454C5A">
            <w:pPr>
              <w:pStyle w:val="NormalWeb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Talent Development </w:t>
            </w:r>
            <w:r w:rsidR="00DE67A0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Partner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785C7AA1" w:rsidR="00B05272" w:rsidRPr="00A27799" w:rsidRDefault="001E79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Bristol</w:t>
            </w:r>
            <w:r w:rsidR="00E94CF0">
              <w:rPr>
                <w:rFonts w:asciiTheme="minorHAnsi" w:hAnsiTheme="minorHAnsi" w:cstheme="minorHAnsi"/>
                <w:sz w:val="20"/>
                <w:szCs w:val="20"/>
              </w:rPr>
              <w:t>/Glasgow</w:t>
            </w:r>
            <w:r w:rsidR="00FC1691">
              <w:rPr>
                <w:rFonts w:asciiTheme="minorHAnsi" w:hAnsiTheme="minorHAnsi" w:cstheme="minorHAnsi"/>
                <w:sz w:val="20"/>
                <w:szCs w:val="20"/>
              </w:rPr>
              <w:t>/London</w:t>
            </w:r>
          </w:p>
        </w:tc>
      </w:tr>
      <w:tr w:rsidR="00E94CF0" w:rsidRPr="00A27799" w14:paraId="4EE69A40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588A4DCF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4247D267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</w:tr>
      <w:tr w:rsidR="00E94CF0" w:rsidRPr="00A27799" w14:paraId="209CF459" w14:textId="77777777" w:rsidTr="00E95920">
        <w:trPr>
          <w:trHeight w:val="282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65D88A4B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of Talent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4DDE74B4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&amp; Development</w:t>
            </w:r>
          </w:p>
        </w:tc>
      </w:tr>
      <w:tr w:rsidR="00E94CF0" w:rsidRPr="00A27799" w14:paraId="6FB31440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09F4071D" w:rsidR="00B05272" w:rsidRPr="00A27799" w:rsidRDefault="008152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CF0" w:rsidRPr="00A27799" w14:paraId="6996C039" w14:textId="77777777" w:rsidTr="00E95920">
        <w:trPr>
          <w:trHeight w:val="25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CF0" w:rsidRPr="00A27799" w14:paraId="6ED7B2D0" w14:textId="77777777" w:rsidTr="00E95920">
        <w:trPr>
          <w:trHeight w:val="282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4525EA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4525EA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5EA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 w:rsidTr="001E79C1">
        <w:trPr>
          <w:trHeight w:val="275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36DCD" w14:textId="248B0758" w:rsidR="00B05272" w:rsidRPr="004525EA" w:rsidRDefault="005C28DF" w:rsidP="004525EA">
            <w:pPr>
              <w:pStyle w:val="NormalWeb"/>
              <w:tabs>
                <w:tab w:val="left" w:pos="1860"/>
              </w:tabs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5C28DF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FFFFF"/>
              </w:rPr>
              <w:t xml:space="preserve">C&amp;C Group plc is a premium drinks company which owns, manufactures, markets and distributes a unique portfolio of beer and cider brands in its home markets and across the globe. You probably know us best from brands like </w:t>
            </w:r>
            <w:proofErr w:type="spellStart"/>
            <w:r w:rsidRPr="005C28DF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FFFFF"/>
              </w:rPr>
              <w:t>Bulmers</w:t>
            </w:r>
            <w:proofErr w:type="spellEnd"/>
            <w:r w:rsidRPr="005C28DF">
              <w:rPr>
                <w:rFonts w:asciiTheme="minorHAnsi" w:hAnsiTheme="minorHAnsi" w:cstheme="minorHAnsi"/>
                <w:b/>
                <w:bCs/>
                <w:sz w:val="21"/>
                <w:szCs w:val="21"/>
                <w:shd w:val="clear" w:color="auto" w:fill="FFFFFF"/>
              </w:rPr>
              <w:t>, Magners and Tennent’s.</w:t>
            </w:r>
            <w:r w:rsidR="004525EA" w:rsidRPr="004525E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ab/>
            </w:r>
          </w:p>
          <w:p w14:paraId="63E1460B" w14:textId="2FE9D74B" w:rsidR="00C15F69" w:rsidRPr="001E3614" w:rsidRDefault="003C1B68" w:rsidP="004525EA">
            <w:pPr>
              <w:rPr>
                <w:rFonts w:asciiTheme="minorHAnsi" w:hAnsiTheme="minorHAnsi" w:cstheme="minorHAnsi"/>
              </w:rPr>
            </w:pPr>
            <w:r w:rsidRPr="001E3614">
              <w:rPr>
                <w:rFonts w:asciiTheme="minorHAnsi" w:hAnsiTheme="minorHAnsi" w:cstheme="minorHAnsi"/>
              </w:rPr>
              <w:t xml:space="preserve">Talent Development </w:t>
            </w:r>
            <w:r w:rsidR="008152D7">
              <w:rPr>
                <w:rFonts w:asciiTheme="minorHAnsi" w:hAnsiTheme="minorHAnsi" w:cstheme="minorHAnsi"/>
              </w:rPr>
              <w:t xml:space="preserve">Partner </w:t>
            </w:r>
            <w:r w:rsidR="00F1121C" w:rsidRPr="001E3614">
              <w:rPr>
                <w:rFonts w:asciiTheme="minorHAnsi" w:hAnsiTheme="minorHAnsi" w:cstheme="minorHAnsi"/>
              </w:rPr>
              <w:t>is responsible for</w:t>
            </w:r>
            <w:r w:rsidRPr="001E3614">
              <w:rPr>
                <w:rFonts w:asciiTheme="minorHAnsi" w:hAnsiTheme="minorHAnsi" w:cstheme="minorHAnsi"/>
              </w:rPr>
              <w:t xml:space="preserve"> </w:t>
            </w:r>
            <w:r w:rsidR="00F43678" w:rsidRPr="001E3614">
              <w:rPr>
                <w:rFonts w:asciiTheme="minorHAnsi" w:hAnsiTheme="minorHAnsi" w:cstheme="minorHAnsi"/>
              </w:rPr>
              <w:t>design</w:t>
            </w:r>
            <w:r w:rsidR="00BF7834" w:rsidRPr="001E3614">
              <w:rPr>
                <w:rFonts w:asciiTheme="minorHAnsi" w:hAnsiTheme="minorHAnsi" w:cstheme="minorHAnsi"/>
              </w:rPr>
              <w:t>ing</w:t>
            </w:r>
            <w:r w:rsidR="00F43678" w:rsidRPr="001E3614">
              <w:rPr>
                <w:rFonts w:asciiTheme="minorHAnsi" w:hAnsiTheme="minorHAnsi" w:cstheme="minorHAnsi"/>
              </w:rPr>
              <w:t>, implementing and evaluat</w:t>
            </w:r>
            <w:r w:rsidR="000C289A" w:rsidRPr="001E3614">
              <w:rPr>
                <w:rFonts w:asciiTheme="minorHAnsi" w:hAnsiTheme="minorHAnsi" w:cstheme="minorHAnsi"/>
              </w:rPr>
              <w:t>ing talen</w:t>
            </w:r>
            <w:r w:rsidR="008C3470" w:rsidRPr="001E3614">
              <w:rPr>
                <w:rFonts w:asciiTheme="minorHAnsi" w:hAnsiTheme="minorHAnsi" w:cstheme="minorHAnsi"/>
              </w:rPr>
              <w:t xml:space="preserve">t </w:t>
            </w:r>
            <w:r w:rsidR="000C289A" w:rsidRPr="001E3614">
              <w:rPr>
                <w:rFonts w:asciiTheme="minorHAnsi" w:hAnsiTheme="minorHAnsi" w:cstheme="minorHAnsi"/>
              </w:rPr>
              <w:t xml:space="preserve">development and programs that align with C&amp;C Groups goals. </w:t>
            </w:r>
            <w:r w:rsidR="007470CC" w:rsidRPr="001E3614">
              <w:rPr>
                <w:rFonts w:asciiTheme="minorHAnsi" w:hAnsiTheme="minorHAnsi" w:cstheme="minorHAnsi"/>
              </w:rPr>
              <w:t>This</w:t>
            </w:r>
            <w:r w:rsidR="008152D7">
              <w:rPr>
                <w:rFonts w:asciiTheme="minorHAnsi" w:hAnsiTheme="minorHAnsi" w:cstheme="minorHAnsi"/>
              </w:rPr>
              <w:t xml:space="preserve"> role</w:t>
            </w:r>
            <w:r w:rsidR="007470CC" w:rsidRPr="001E3614">
              <w:rPr>
                <w:rFonts w:asciiTheme="minorHAnsi" w:hAnsiTheme="minorHAnsi" w:cstheme="minorHAnsi"/>
              </w:rPr>
              <w:t xml:space="preserve"> has overall responsibility for </w:t>
            </w:r>
            <w:r w:rsidRPr="001E3614">
              <w:rPr>
                <w:rFonts w:asciiTheme="minorHAnsi" w:hAnsiTheme="minorHAnsi" w:cstheme="minorHAnsi"/>
              </w:rPr>
              <w:t>managing</w:t>
            </w:r>
            <w:r w:rsidR="008C3470" w:rsidRPr="001E3614">
              <w:rPr>
                <w:rFonts w:asciiTheme="minorHAnsi" w:hAnsiTheme="minorHAnsi" w:cstheme="minorHAnsi"/>
              </w:rPr>
              <w:t xml:space="preserve"> the</w:t>
            </w:r>
            <w:r w:rsidR="00594754" w:rsidRPr="001E3614">
              <w:rPr>
                <w:rFonts w:asciiTheme="minorHAnsi" w:hAnsiTheme="minorHAnsi" w:cstheme="minorHAnsi"/>
              </w:rPr>
              <w:t xml:space="preserve"> apprenticeship funding across </w:t>
            </w:r>
            <w:r w:rsidR="008152D7">
              <w:rPr>
                <w:rFonts w:asciiTheme="minorHAnsi" w:hAnsiTheme="minorHAnsi" w:cstheme="minorHAnsi"/>
              </w:rPr>
              <w:t>the UK and Republic of Ireland</w:t>
            </w:r>
            <w:r w:rsidR="00594754" w:rsidRPr="001E3614">
              <w:rPr>
                <w:rFonts w:asciiTheme="minorHAnsi" w:hAnsiTheme="minorHAnsi" w:cstheme="minorHAnsi"/>
              </w:rPr>
              <w:t xml:space="preserve"> maximising the opportunity to develop talent</w:t>
            </w:r>
            <w:r w:rsidR="007F2C90" w:rsidRPr="001E3614">
              <w:rPr>
                <w:rFonts w:asciiTheme="minorHAnsi" w:hAnsiTheme="minorHAnsi" w:cstheme="minorHAnsi"/>
              </w:rPr>
              <w:t xml:space="preserve"> at all levels</w:t>
            </w:r>
            <w:r w:rsidR="00594754" w:rsidRPr="001E3614">
              <w:rPr>
                <w:rFonts w:asciiTheme="minorHAnsi" w:hAnsiTheme="minorHAnsi" w:cstheme="minorHAnsi"/>
              </w:rPr>
              <w:t xml:space="preserve"> in the organisation</w:t>
            </w:r>
            <w:r w:rsidR="00CE0417" w:rsidRPr="001E3614">
              <w:rPr>
                <w:rFonts w:asciiTheme="minorHAnsi" w:hAnsiTheme="minorHAnsi" w:cstheme="minorHAnsi"/>
              </w:rPr>
              <w:t xml:space="preserve">. </w:t>
            </w:r>
            <w:r w:rsidR="008152D7">
              <w:rPr>
                <w:rFonts w:asciiTheme="minorHAnsi" w:hAnsiTheme="minorHAnsi" w:cstheme="minorHAnsi"/>
              </w:rPr>
              <w:t>S/he will d</w:t>
            </w:r>
            <w:r w:rsidR="008152D7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esign </w:t>
            </w:r>
            <w:r w:rsidR="002F5C99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and deliver engaging and impactful learning solutions t</w:t>
            </w:r>
            <w:r w:rsidR="008152D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o</w:t>
            </w:r>
            <w:r w:rsidR="002F5C99" w:rsidRPr="001E3614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enable our people to thrive in their careers</w:t>
            </w:r>
            <w:r w:rsidR="008152D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 xml:space="preserve"> at C&amp;C</w:t>
            </w:r>
            <w:r w:rsidR="00A30528" w:rsidRPr="001E3614">
              <w:rPr>
                <w:rFonts w:asciiTheme="minorHAnsi" w:hAnsiTheme="minorHAnsi" w:cstheme="minorHAnsi"/>
              </w:rPr>
              <w:t xml:space="preserve"> and </w:t>
            </w:r>
            <w:r w:rsidR="008152D7">
              <w:rPr>
                <w:rFonts w:asciiTheme="minorHAnsi" w:hAnsiTheme="minorHAnsi" w:cstheme="minorHAnsi"/>
              </w:rPr>
              <w:t xml:space="preserve">will </w:t>
            </w:r>
            <w:r w:rsidR="00A30528" w:rsidRPr="001E3614">
              <w:rPr>
                <w:rFonts w:asciiTheme="minorHAnsi" w:hAnsiTheme="minorHAnsi" w:cstheme="minorHAnsi"/>
              </w:rPr>
              <w:t>foster a culture of continuous improvement and growth.</w:t>
            </w:r>
            <w:r w:rsidR="00F1121C" w:rsidRPr="001E36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 w:rsidTr="00284D2D">
        <w:trPr>
          <w:trHeight w:val="150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EF4F9B" w14:textId="2601BB4B" w:rsidR="00BB470C" w:rsidRPr="00F43263" w:rsidRDefault="008152D7" w:rsidP="00BB470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Discovery, </w:t>
            </w:r>
            <w:r w:rsidR="00456C17"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 Design and Delivery</w:t>
            </w:r>
          </w:p>
          <w:p w14:paraId="12D09089" w14:textId="2CF15AEB" w:rsidR="00BE6860" w:rsidRDefault="00BE6860" w:rsidP="00BB470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860">
              <w:rPr>
                <w:rFonts w:asciiTheme="minorHAnsi" w:hAnsiTheme="minorHAnsi" w:cstheme="minorHAnsi"/>
                <w:sz w:val="20"/>
                <w:szCs w:val="20"/>
              </w:rPr>
              <w:t>Identify skills gaps and recommend solutions to build workforce capabilities.</w:t>
            </w:r>
          </w:p>
          <w:p w14:paraId="061DE133" w14:textId="4117BA0E" w:rsidR="00D608F6" w:rsidRDefault="00D608F6" w:rsidP="00D608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08F6">
              <w:rPr>
                <w:rFonts w:asciiTheme="minorHAnsi" w:hAnsiTheme="minorHAnsi" w:cstheme="minorHAnsi"/>
                <w:sz w:val="20"/>
                <w:szCs w:val="20"/>
              </w:rPr>
              <w:t>Manage the apprenticeship levy funding across the UK and identify funding opportunities across all our entities, ensuring we optimise career development and talent pipelines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6E66B7" w14:textId="07097798" w:rsidR="0033446C" w:rsidRPr="004C61A2" w:rsidRDefault="00456C17" w:rsidP="00B37650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61A2">
              <w:rPr>
                <w:rFonts w:asciiTheme="minorHAnsi" w:hAnsiTheme="minorHAnsi" w:cstheme="minorHAnsi"/>
                <w:sz w:val="20"/>
                <w:szCs w:val="20"/>
              </w:rPr>
              <w:t>Develop and implement structured early career</w:t>
            </w:r>
            <w:r w:rsidR="00931D60" w:rsidRPr="004C61A2">
              <w:rPr>
                <w:rFonts w:asciiTheme="minorHAnsi" w:hAnsiTheme="minorHAnsi" w:cstheme="minorHAnsi"/>
                <w:sz w:val="20"/>
                <w:szCs w:val="20"/>
              </w:rPr>
              <w:t xml:space="preserve"> and apprenticeship </w:t>
            </w:r>
            <w:r w:rsidRPr="004C61A2">
              <w:rPr>
                <w:rFonts w:asciiTheme="minorHAnsi" w:hAnsiTheme="minorHAnsi" w:cstheme="minorHAnsi"/>
                <w:sz w:val="20"/>
                <w:szCs w:val="20"/>
              </w:rPr>
              <w:t>programs</w:t>
            </w:r>
            <w:r w:rsidR="004C61A2" w:rsidRPr="004C61A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C61A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1A2">
              <w:rPr>
                <w:rFonts w:asciiTheme="minorHAnsi" w:hAnsiTheme="minorHAnsi" w:cstheme="minorHAnsi"/>
                <w:sz w:val="20"/>
                <w:szCs w:val="20"/>
              </w:rPr>
              <w:t>nsure alignment with organi</w:t>
            </w:r>
            <w:r w:rsidR="006674E5" w:rsidRPr="004C61A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C61A2">
              <w:rPr>
                <w:rFonts w:asciiTheme="minorHAnsi" w:hAnsiTheme="minorHAnsi" w:cstheme="minorHAnsi"/>
                <w:sz w:val="20"/>
                <w:szCs w:val="20"/>
              </w:rPr>
              <w:t>ational goals, industry standards, and career development frameworks.</w:t>
            </w:r>
          </w:p>
          <w:p w14:paraId="424B1358" w14:textId="77777777" w:rsidR="00456C17" w:rsidRPr="00F43263" w:rsidRDefault="00456C17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Talent Development and Support</w:t>
            </w:r>
          </w:p>
          <w:p w14:paraId="251148FD" w14:textId="611CD3E2" w:rsidR="002E323E" w:rsidRPr="00E5514D" w:rsidRDefault="002E323E" w:rsidP="00E5514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Design, deliver and manage learning and development initiatives, across leadership development, talent development, engagement, performance management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F8E669" w14:textId="796EA733" w:rsidR="008C5ECB" w:rsidRDefault="00456C17" w:rsidP="00637872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18AA">
              <w:rPr>
                <w:rFonts w:asciiTheme="minorHAnsi" w:hAnsiTheme="minorHAnsi" w:cstheme="minorHAnsi"/>
                <w:sz w:val="20"/>
                <w:szCs w:val="20"/>
              </w:rPr>
              <w:t>Support the personal and professional growth of early career employees through mentorship, coaching, and tailored development plans.</w:t>
            </w:r>
            <w:r w:rsidR="004B18AA" w:rsidRPr="004B18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3694D4" w14:textId="77777777" w:rsidR="008C5ECB" w:rsidRDefault="00456C17" w:rsidP="0042659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ECB">
              <w:rPr>
                <w:rFonts w:asciiTheme="minorHAnsi" w:hAnsiTheme="minorHAnsi" w:cstheme="minorHAnsi"/>
                <w:sz w:val="20"/>
                <w:szCs w:val="20"/>
              </w:rPr>
              <w:t>Act as a point of contact for participants, providing guidance and resolving concerns.</w:t>
            </w:r>
          </w:p>
          <w:p w14:paraId="534091C3" w14:textId="61CCC88C" w:rsidR="00456C17" w:rsidRDefault="00456C17" w:rsidP="0042659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5ECB">
              <w:rPr>
                <w:rFonts w:asciiTheme="minorHAnsi" w:hAnsiTheme="minorHAnsi" w:cstheme="minorHAnsi"/>
                <w:sz w:val="20"/>
                <w:szCs w:val="20"/>
              </w:rPr>
              <w:t>Monitor participants' progress and identify opportunities for further development.</w:t>
            </w:r>
          </w:p>
          <w:p w14:paraId="04AADA55" w14:textId="219F8D11" w:rsidR="00703BF9" w:rsidRPr="00F43263" w:rsidRDefault="00703BF9" w:rsidP="00703BF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Technologies</w:t>
            </w:r>
          </w:p>
          <w:p w14:paraId="1CC235A1" w14:textId="03797E69" w:rsidR="006C444C" w:rsidRPr="006C444C" w:rsidRDefault="009F616C" w:rsidP="006C444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the management 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maintenance of 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r w:rsidR="00C16F75">
              <w:rPr>
                <w:rFonts w:asciiTheme="minorHAnsi" w:hAnsiTheme="minorHAnsi" w:cstheme="minorHAnsi"/>
                <w:sz w:val="20"/>
                <w:szCs w:val="20"/>
              </w:rPr>
              <w:t>technologies (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we are currently implementing Thrive</w:t>
            </w:r>
            <w:r w:rsidR="00B55026">
              <w:rPr>
                <w:rFonts w:asciiTheme="minorHAnsi" w:hAnsiTheme="minorHAnsi" w:cstheme="minorHAnsi"/>
                <w:sz w:val="20"/>
                <w:szCs w:val="20"/>
              </w:rPr>
              <w:t xml:space="preserve"> as the Learning Management </w:t>
            </w:r>
            <w:r w:rsidR="00C16F7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63B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>including configuration, user management, and troubleshooting</w:t>
            </w:r>
          </w:p>
          <w:p w14:paraId="38ECA0A1" w14:textId="52BB0E74" w:rsidR="006C444C" w:rsidRDefault="00C16F75" w:rsidP="006C444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part of the team </w:t>
            </w:r>
            <w:r w:rsidR="000440D1">
              <w:rPr>
                <w:rFonts w:asciiTheme="minorHAnsi" w:hAnsiTheme="minorHAnsi" w:cstheme="minorHAnsi"/>
                <w:sz w:val="20"/>
                <w:szCs w:val="20"/>
              </w:rPr>
              <w:t>be a focal point</w:t>
            </w:r>
            <w:r w:rsidR="006C444C" w:rsidRPr="006C444C">
              <w:rPr>
                <w:rFonts w:asciiTheme="minorHAnsi" w:hAnsiTheme="minorHAnsi" w:cstheme="minorHAnsi"/>
                <w:sz w:val="20"/>
                <w:szCs w:val="20"/>
              </w:rPr>
              <w:t xml:space="preserve"> of contact for LMS-related issues, providing technical support to employees and resolving system challenges.</w:t>
            </w:r>
          </w:p>
          <w:p w14:paraId="5F247F0A" w14:textId="46499509" w:rsidR="0088480C" w:rsidRPr="0088480C" w:rsidRDefault="0088480C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Ensure compliance to all Learning policies and processes by all platform contributors. </w:t>
            </w:r>
          </w:p>
          <w:p w14:paraId="4BF9E4A3" w14:textId="70BCE2D4" w:rsidR="0088480C" w:rsidRPr="0088480C" w:rsidRDefault="00335216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Contribute and support the m</w:t>
            </w:r>
            <w:r w:rsidR="0088480C" w:rsidRPr="0088480C">
              <w:rPr>
                <w:rFonts w:asciiTheme="minorHAnsi" w:hAnsiTheme="minorHAnsi" w:cstheme="minorHAnsi"/>
                <w:sz w:val="20"/>
                <w:szCs w:val="20"/>
              </w:rPr>
              <w:t>anage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ment</w:t>
            </w:r>
            <w:r w:rsidR="00A3142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A31421" w:rsidRPr="0088480C"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="0088480C"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 campaigns and LXP roadmap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E71821" w14:textId="6AF66A5F" w:rsidR="0088480C" w:rsidRPr="00261D18" w:rsidRDefault="000440D1" w:rsidP="003E3120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 the management </w:t>
            </w:r>
            <w:r w:rsidR="00A44580">
              <w:rPr>
                <w:rFonts w:asciiTheme="minorHAnsi" w:hAnsiTheme="minorHAnsi" w:cstheme="minorHAnsi"/>
                <w:sz w:val="20"/>
                <w:szCs w:val="20"/>
              </w:rPr>
              <w:t>of th</w:t>
            </w:r>
            <w:r w:rsidR="0088480C" w:rsidRPr="00261D18">
              <w:rPr>
                <w:rFonts w:asciiTheme="minorHAnsi" w:hAnsiTheme="minorHAnsi" w:cstheme="minorHAnsi"/>
                <w:sz w:val="20"/>
                <w:szCs w:val="20"/>
              </w:rPr>
              <w:t xml:space="preserve">e SME Content Forum. </w:t>
            </w:r>
          </w:p>
          <w:p w14:paraId="598C2A78" w14:textId="77777777" w:rsidR="0088480C" w:rsidRPr="0088480C" w:rsidRDefault="0088480C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0C">
              <w:rPr>
                <w:rFonts w:asciiTheme="minorHAnsi" w:hAnsiTheme="minorHAnsi" w:cstheme="minorHAnsi"/>
                <w:sz w:val="20"/>
                <w:szCs w:val="20"/>
              </w:rPr>
              <w:t xml:space="preserve">Provide company-wide reporting metrics. </w:t>
            </w:r>
          </w:p>
          <w:p w14:paraId="5DDBE26B" w14:textId="70DA93DB" w:rsidR="0088480C" w:rsidRPr="006C444C" w:rsidRDefault="0088480C" w:rsidP="0088480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480C">
              <w:rPr>
                <w:rFonts w:asciiTheme="minorHAnsi" w:hAnsiTheme="minorHAnsi" w:cstheme="minorHAnsi"/>
                <w:sz w:val="20"/>
                <w:szCs w:val="20"/>
              </w:rPr>
              <w:t>Undertake Admin processes (Managing audience, tagging strategy, Explore blocks)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7147DFF" w14:textId="6C348CD0" w:rsidR="000E05B1" w:rsidRPr="00F43263" w:rsidRDefault="000E05B1" w:rsidP="000E05B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</w:t>
            </w:r>
            <w:r w:rsidR="009407BD"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ational Development</w:t>
            </w:r>
          </w:p>
          <w:p w14:paraId="008FD2AC" w14:textId="77777777" w:rsidR="0061246A" w:rsidRDefault="000E05B1" w:rsidP="00437CC1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Support organi</w:t>
            </w:r>
            <w:r w:rsidR="009407BD" w:rsidRPr="0061246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ational change efforts through tailored development programs and interventions.</w:t>
            </w:r>
          </w:p>
          <w:p w14:paraId="4C3AC8FC" w14:textId="77777777" w:rsidR="0061246A" w:rsidRDefault="000E05B1" w:rsidP="00BC20DD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Contribute to succession planning, workforce planning, and career pathing initiatives to ensure a pipeline of ready talent.</w:t>
            </w:r>
          </w:p>
          <w:p w14:paraId="4C2CABDB" w14:textId="15E457D4" w:rsidR="000E05B1" w:rsidRPr="0061246A" w:rsidRDefault="000E05B1" w:rsidP="00BC20DD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Foster a culture of continuous learning and innovation across the organi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1246A">
              <w:rPr>
                <w:rFonts w:asciiTheme="minorHAnsi" w:hAnsiTheme="minorHAnsi" w:cstheme="minorHAnsi"/>
                <w:sz w:val="20"/>
                <w:szCs w:val="20"/>
              </w:rPr>
              <w:t>ation.</w:t>
            </w:r>
          </w:p>
          <w:p w14:paraId="6F24CAFE" w14:textId="77777777" w:rsidR="00456C17" w:rsidRPr="00F43263" w:rsidRDefault="00456C17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Stakeholder Collaboration</w:t>
            </w:r>
          </w:p>
          <w:p w14:paraId="2C419847" w14:textId="14C210E1" w:rsidR="00B07067" w:rsidRDefault="00456C17" w:rsidP="00D3733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>Partner with HR</w:t>
            </w:r>
            <w:r w:rsidR="00DF3532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 xml:space="preserve">business leaders to </w:t>
            </w:r>
            <w:r w:rsidR="00121D84">
              <w:rPr>
                <w:rFonts w:asciiTheme="minorHAnsi" w:hAnsiTheme="minorHAnsi" w:cstheme="minorHAnsi"/>
                <w:sz w:val="20"/>
                <w:szCs w:val="20"/>
              </w:rPr>
              <w:t xml:space="preserve">understand </w:t>
            </w:r>
            <w:r w:rsidR="002B6551">
              <w:rPr>
                <w:rFonts w:asciiTheme="minorHAnsi" w:hAnsiTheme="minorHAnsi" w:cstheme="minorHAnsi"/>
                <w:sz w:val="20"/>
                <w:szCs w:val="20"/>
              </w:rPr>
              <w:t>strategic goals and identify talent development needs</w:t>
            </w:r>
            <w:r w:rsidR="00A1388A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DF3532">
              <w:rPr>
                <w:rFonts w:asciiTheme="minorHAnsi" w:hAnsiTheme="minorHAnsi" w:cstheme="minorHAnsi"/>
                <w:sz w:val="20"/>
                <w:szCs w:val="20"/>
              </w:rPr>
              <w:t xml:space="preserve"> future skills requirements to </w:t>
            </w:r>
            <w:r w:rsidR="005B7305">
              <w:rPr>
                <w:rFonts w:asciiTheme="minorHAnsi" w:hAnsiTheme="minorHAnsi" w:cstheme="minorHAnsi"/>
                <w:sz w:val="20"/>
                <w:szCs w:val="20"/>
              </w:rPr>
              <w:t xml:space="preserve">identify </w:t>
            </w:r>
            <w:r w:rsidR="007D208D">
              <w:rPr>
                <w:rFonts w:asciiTheme="minorHAnsi" w:hAnsiTheme="minorHAnsi" w:cstheme="minorHAnsi"/>
                <w:sz w:val="20"/>
                <w:szCs w:val="20"/>
              </w:rPr>
              <w:t>appropriate interventions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762C6D" w14:textId="5E150886" w:rsidR="00B07067" w:rsidRDefault="00456C17" w:rsidP="00910AC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>Work closely with external training providers, accreditation bodies, and industry partners as needed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B0AC15" w14:textId="6C34DBE3" w:rsidR="005F52CD" w:rsidRDefault="005F52CD" w:rsidP="00910AC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expert recommend</w:t>
            </w:r>
            <w:r w:rsidR="00181A0C">
              <w:rPr>
                <w:rFonts w:asciiTheme="minorHAnsi" w:hAnsiTheme="minorHAnsi" w:cstheme="minorHAnsi"/>
                <w:sz w:val="20"/>
                <w:szCs w:val="20"/>
              </w:rPr>
              <w:t>ations to improve leadership effectiveness, team dynamics and employee performance</w:t>
            </w:r>
          </w:p>
          <w:p w14:paraId="76084A1B" w14:textId="695FC72F" w:rsidR="00B07067" w:rsidRDefault="00456C17" w:rsidP="00A160A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>Promote early career programs across the organi</w:t>
            </w:r>
            <w:r w:rsidR="007D208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07067">
              <w:rPr>
                <w:rFonts w:asciiTheme="minorHAnsi" w:hAnsiTheme="minorHAnsi" w:cstheme="minorHAnsi"/>
                <w:sz w:val="20"/>
                <w:szCs w:val="20"/>
              </w:rPr>
              <w:t>ation to ensure visibility and engagement.</w:t>
            </w:r>
          </w:p>
          <w:p w14:paraId="3862775D" w14:textId="5BB10B91" w:rsidR="00C37D00" w:rsidRPr="00890286" w:rsidRDefault="007D208D" w:rsidP="00BA463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286">
              <w:rPr>
                <w:rFonts w:asciiTheme="minorHAnsi" w:hAnsiTheme="minorHAnsi" w:cstheme="minorHAnsi"/>
                <w:sz w:val="20"/>
                <w:szCs w:val="20"/>
              </w:rPr>
              <w:t>Ensure appropriate a</w:t>
            </w:r>
            <w:r w:rsidR="00456C17" w:rsidRPr="00890286">
              <w:rPr>
                <w:rFonts w:asciiTheme="minorHAnsi" w:hAnsiTheme="minorHAnsi" w:cstheme="minorHAnsi"/>
                <w:sz w:val="20"/>
                <w:szCs w:val="20"/>
              </w:rPr>
              <w:t xml:space="preserve">ttraction and </w:t>
            </w:r>
            <w:r w:rsidRPr="0089028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56C17" w:rsidRPr="00890286">
              <w:rPr>
                <w:rFonts w:asciiTheme="minorHAnsi" w:hAnsiTheme="minorHAnsi" w:cstheme="minorHAnsi"/>
                <w:sz w:val="20"/>
                <w:szCs w:val="20"/>
              </w:rPr>
              <w:t>ecruitment</w:t>
            </w:r>
            <w:r w:rsidRPr="00890286">
              <w:rPr>
                <w:rFonts w:asciiTheme="minorHAnsi" w:hAnsiTheme="minorHAnsi" w:cstheme="minorHAnsi"/>
                <w:sz w:val="20"/>
                <w:szCs w:val="20"/>
              </w:rPr>
              <w:t xml:space="preserve"> strategies are deployed to </w:t>
            </w:r>
            <w:r w:rsidR="00456C17" w:rsidRPr="00890286">
              <w:rPr>
                <w:rFonts w:asciiTheme="minorHAnsi" w:hAnsiTheme="minorHAnsi" w:cstheme="minorHAnsi"/>
                <w:sz w:val="20"/>
                <w:szCs w:val="20"/>
              </w:rPr>
              <w:t>attract diverse and high-potential early career talent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56C17" w:rsidRPr="008902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A6AF63" w14:textId="2D0B895E" w:rsidR="00456C17" w:rsidRPr="00C37D00" w:rsidRDefault="00456C17" w:rsidP="00BF25F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D00">
              <w:rPr>
                <w:rFonts w:asciiTheme="minorHAnsi" w:hAnsiTheme="minorHAnsi" w:cstheme="minorHAnsi"/>
                <w:sz w:val="20"/>
                <w:szCs w:val="20"/>
              </w:rPr>
              <w:t xml:space="preserve">Support the design of assessment </w:t>
            </w:r>
            <w:r w:rsidR="00C37D00" w:rsidRPr="00C37D00">
              <w:rPr>
                <w:rFonts w:asciiTheme="minorHAnsi" w:hAnsiTheme="minorHAnsi" w:cstheme="minorHAnsi"/>
                <w:sz w:val="20"/>
                <w:szCs w:val="20"/>
              </w:rPr>
              <w:t>centres</w:t>
            </w:r>
            <w:r w:rsidRPr="00C37D00">
              <w:rPr>
                <w:rFonts w:asciiTheme="minorHAnsi" w:hAnsiTheme="minorHAnsi" w:cstheme="minorHAnsi"/>
                <w:sz w:val="20"/>
                <w:szCs w:val="20"/>
              </w:rPr>
              <w:t>, interviews, and onboarding processes tailored to early career candidates.</w:t>
            </w:r>
          </w:p>
          <w:p w14:paraId="6EA34580" w14:textId="1EC3B3F3" w:rsidR="00456C17" w:rsidRPr="00900438" w:rsidRDefault="00EC44AA" w:rsidP="00456C1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0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and Reporting</w:t>
            </w:r>
          </w:p>
          <w:p w14:paraId="77B31F8C" w14:textId="2C6FA961" w:rsidR="00EC44AA" w:rsidRDefault="00EC44AA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data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>analytics</w:t>
            </w:r>
            <w:r w:rsidR="00F64CCC">
              <w:rPr>
                <w:rFonts w:asciiTheme="minorHAnsi" w:hAnsiTheme="minorHAnsi" w:cstheme="minorHAnsi"/>
                <w:sz w:val="20"/>
                <w:szCs w:val="20"/>
              </w:rPr>
              <w:t xml:space="preserve"> to measure the effectiveness and ROI of talent development programmes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3A283F" w14:textId="7296FC1E" w:rsidR="00F64CCC" w:rsidRDefault="00F64CCC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Provide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>insights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recommendations </w:t>
            </w:r>
            <w:r w:rsidR="00677836">
              <w:rPr>
                <w:rFonts w:asciiTheme="minorHAnsi" w:hAnsiTheme="minorHAnsi" w:cstheme="minorHAnsi"/>
                <w:sz w:val="20"/>
                <w:szCs w:val="20"/>
              </w:rPr>
              <w:t>based on evaluation results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4D70478" w14:textId="5411E9F9" w:rsidR="0080273F" w:rsidRDefault="0080273F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Prepare reports</w:t>
            </w:r>
            <w:r w:rsidR="00AB08AC">
              <w:rPr>
                <w:rFonts w:asciiTheme="minorHAnsi" w:hAnsiTheme="minorHAnsi" w:cstheme="minorHAnsi"/>
                <w:sz w:val="20"/>
                <w:szCs w:val="20"/>
              </w:rPr>
              <w:t>, presentations and recommendations to inform decision making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93CA65" w14:textId="3924EF7B" w:rsidR="0001118D" w:rsidRDefault="0001118D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Stay updated on industry trends and integrate best practices into talent development </w:t>
            </w:r>
            <w:r w:rsidR="008D3AAB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8B51C4" w14:textId="740A0F84" w:rsidR="008D3AAB" w:rsidRDefault="008D3AAB" w:rsidP="00BE612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3AAB">
              <w:rPr>
                <w:rFonts w:asciiTheme="minorHAnsi" w:hAnsiTheme="minorHAnsi" w:cstheme="minorHAnsi"/>
                <w:sz w:val="20"/>
                <w:szCs w:val="20"/>
              </w:rPr>
              <w:t>Maintain accurate records of participants</w:t>
            </w:r>
            <w:r w:rsidR="00DA3EFB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8D3AAB">
              <w:rPr>
                <w:rFonts w:asciiTheme="minorHAnsi" w:hAnsiTheme="minorHAnsi" w:cstheme="minorHAnsi"/>
                <w:sz w:val="20"/>
                <w:szCs w:val="20"/>
              </w:rPr>
              <w:t xml:space="preserve"> progress, training hours, and certifications.</w:t>
            </w:r>
          </w:p>
          <w:p w14:paraId="1A8E1EC1" w14:textId="0D34908C" w:rsidR="00456C17" w:rsidRPr="00900438" w:rsidRDefault="00456C17" w:rsidP="00C37D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04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 and Inclusion</w:t>
            </w:r>
          </w:p>
          <w:p w14:paraId="612086FA" w14:textId="107CFE8F" w:rsidR="005310E1" w:rsidRDefault="00456C17" w:rsidP="00686C3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01118D">
              <w:rPr>
                <w:rFonts w:asciiTheme="minorHAnsi" w:hAnsiTheme="minorHAnsi" w:cstheme="minorHAnsi"/>
                <w:sz w:val="20"/>
                <w:szCs w:val="20"/>
              </w:rPr>
              <w:t xml:space="preserve">all talent development programmes </w:t>
            </w: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foster an inclusive environment that supports diverse talent.</w:t>
            </w:r>
          </w:p>
          <w:p w14:paraId="79810E5E" w14:textId="77777777" w:rsidR="005310E1" w:rsidRDefault="005310E1" w:rsidP="00456C17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56C17" w:rsidRPr="005310E1">
              <w:rPr>
                <w:rFonts w:asciiTheme="minorHAnsi" w:hAnsiTheme="minorHAnsi" w:cstheme="minorHAnsi"/>
                <w:sz w:val="20"/>
                <w:szCs w:val="20"/>
              </w:rPr>
              <w:t>evelop initiatives to improve accessibility and equity in early career development opportunities.</w:t>
            </w:r>
          </w:p>
          <w:p w14:paraId="2844554C" w14:textId="522AA192" w:rsidR="008248F9" w:rsidRPr="008D3AAB" w:rsidRDefault="00456C17" w:rsidP="008D3AA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Ensure all programs meet legal, regulatory, and organi</w:t>
            </w:r>
            <w:r w:rsidR="006D76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310E1">
              <w:rPr>
                <w:rFonts w:asciiTheme="minorHAnsi" w:hAnsiTheme="minorHAnsi" w:cstheme="minorHAnsi"/>
                <w:sz w:val="20"/>
                <w:szCs w:val="20"/>
              </w:rPr>
              <w:t>ational compliance standards, especially for apprenticeship programs.</w:t>
            </w: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81B761" w14:textId="15130A61" w:rsidR="00B05272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Development Team</w:t>
            </w:r>
          </w:p>
          <w:p w14:paraId="4735C66B" w14:textId="777319E4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Talent Acquisition / Recruitment Team</w:t>
            </w:r>
          </w:p>
          <w:p w14:paraId="25C31881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 Business Partners</w:t>
            </w:r>
          </w:p>
          <w:p w14:paraId="324D13B2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 Operations</w:t>
            </w:r>
          </w:p>
          <w:p w14:paraId="60783733" w14:textId="77777777" w:rsidR="00DA3EFB" w:rsidRDefault="00DA3EFB" w:rsidP="00DA3E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Managers</w:t>
            </w:r>
          </w:p>
          <w:p w14:paraId="17985A3D" w14:textId="0F6E24EF" w:rsidR="00DA3EFB" w:rsidRPr="00F43263" w:rsidRDefault="00DA3EFB" w:rsidP="00F43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Thrive Customer Support Team</w:t>
            </w:r>
          </w:p>
        </w:tc>
      </w:tr>
      <w:tr w:rsidR="00B05272" w:rsidRPr="00A27799" w14:paraId="3AF44CC6" w14:textId="77777777" w:rsidTr="00E9592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11AC4DB6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KNOWLEDGE/ EXPERIENCE/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 w:rsidTr="00F43263">
        <w:trPr>
          <w:trHeight w:val="515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E6361F" w14:textId="77777777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Talent Development &amp; Career Progression</w:t>
            </w:r>
          </w:p>
          <w:p w14:paraId="64ABC7C3" w14:textId="4036E531" w:rsidR="00E121E3" w:rsidRPr="00220392" w:rsidRDefault="00E121E3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Strong understanding of career development theories and frameworks</w:t>
            </w:r>
            <w:r w:rsidR="00DA3EFB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proofErr w:type="gramStart"/>
            <w:r w:rsidR="00DA3EFB">
              <w:rPr>
                <w:rFonts w:asciiTheme="minorHAnsi" w:hAnsiTheme="minorHAnsi" w:cstheme="minorHAnsi"/>
                <w:color w:val="000000"/>
                <w:lang w:val="en-US"/>
              </w:rPr>
              <w:t>in particular</w:t>
            </w:r>
            <w:proofErr w:type="gramEnd"/>
            <w:r w:rsidR="00DA3EFB">
              <w:rPr>
                <w:rFonts w:asciiTheme="minorHAnsi" w:hAnsiTheme="minorHAnsi" w:cstheme="minorHAnsi"/>
                <w:color w:val="000000"/>
                <w:lang w:val="en-US"/>
              </w:rPr>
              <w:t xml:space="preserve"> those</w:t>
            </w: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 xml:space="preserve"> applicable to early career stages.</w:t>
            </w:r>
          </w:p>
          <w:p w14:paraId="2D1B70DD" w14:textId="77777777" w:rsidR="00E121E3" w:rsidRDefault="00E121E3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Knowledge of learning and development methodologies, including coaching, mentoring, and training techniques.</w:t>
            </w:r>
          </w:p>
          <w:p w14:paraId="43AAD3EB" w14:textId="1D2AAE2B" w:rsidR="00DA3EFB" w:rsidRPr="00220392" w:rsidRDefault="00DA3EFB" w:rsidP="00E121E3">
            <w:pPr>
              <w:pStyle w:val="Header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Ideally certified in one of more assessment tools.</w:t>
            </w:r>
          </w:p>
          <w:p w14:paraId="05B67481" w14:textId="49D9D8C3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HR Policies &amp; Compliance</w:t>
            </w:r>
          </w:p>
          <w:p w14:paraId="43A033E8" w14:textId="42A96F85" w:rsidR="00E121E3" w:rsidRPr="00220392" w:rsidRDefault="00E121E3" w:rsidP="00E121E3">
            <w:pPr>
              <w:pStyle w:val="Header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Familiarity with employment law and regulations related to early careers programs (e.g., apprenticeship levies, visa requirements, equality laws).</w:t>
            </w:r>
          </w:p>
          <w:p w14:paraId="73F42A36" w14:textId="77777777" w:rsidR="00E121E3" w:rsidRPr="00220392" w:rsidRDefault="00E121E3" w:rsidP="00E121E3">
            <w:pPr>
              <w:pStyle w:val="Header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Awareness of diversity, equity, and inclusion (DEI) principles and their application in talent development programs.</w:t>
            </w:r>
          </w:p>
          <w:p w14:paraId="37C2B5EE" w14:textId="1748EDA2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Industry &amp; Market Trends</w:t>
            </w:r>
          </w:p>
          <w:p w14:paraId="43CA3ACF" w14:textId="77777777" w:rsidR="00E121E3" w:rsidRPr="00220392" w:rsidRDefault="00E121E3" w:rsidP="00E121E3">
            <w:pPr>
              <w:pStyle w:val="Header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Understanding of emerging trends in graduate, apprenticeship, and internship programs.</w:t>
            </w:r>
          </w:p>
          <w:p w14:paraId="403EFEC0" w14:textId="77777777" w:rsidR="00E121E3" w:rsidRPr="00220392" w:rsidRDefault="00E121E3" w:rsidP="00E121E3">
            <w:pPr>
              <w:pStyle w:val="Header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Knowledge of employer branding strategies to attract and retain early career talent.</w:t>
            </w:r>
          </w:p>
          <w:p w14:paraId="4BBFE6A3" w14:textId="77777777" w:rsidR="00E121E3" w:rsidRPr="00220392" w:rsidRDefault="00E121E3" w:rsidP="00E121E3">
            <w:pPr>
              <w:pStyle w:val="Header"/>
              <w:tabs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Program Design &amp; Evaluation</w:t>
            </w:r>
          </w:p>
          <w:p w14:paraId="428315E7" w14:textId="77777777" w:rsidR="00E121E3" w:rsidRPr="00220392" w:rsidRDefault="00E121E3" w:rsidP="00E121E3">
            <w:pPr>
              <w:pStyle w:val="Header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Expertise in designing structured rotational programs, training schedules, and career pathways.</w:t>
            </w:r>
          </w:p>
          <w:p w14:paraId="6F812980" w14:textId="39EC1264" w:rsidR="00B05272" w:rsidRPr="00220392" w:rsidRDefault="00E121E3" w:rsidP="00E121E3">
            <w:pPr>
              <w:pStyle w:val="Header"/>
              <w:numPr>
                <w:ilvl w:val="0"/>
                <w:numId w:val="27"/>
              </w:numPr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220392">
              <w:rPr>
                <w:rFonts w:asciiTheme="minorHAnsi" w:hAnsiTheme="minorHAnsi" w:cstheme="minorHAnsi"/>
                <w:color w:val="000000"/>
                <w:lang w:val="en-US"/>
              </w:rPr>
              <w:t>Familiarity with metrics and tools for evaluating program effectiveness and employee engagement</w:t>
            </w:r>
            <w:r w:rsidRPr="00220392">
              <w:rPr>
                <w:rFonts w:asciiTheme="majorHAnsi" w:hAnsiTheme="majorHAnsi" w:cstheme="majorHAnsi"/>
                <w:color w:val="000000"/>
                <w:lang w:val="en-US"/>
              </w:rPr>
              <w:t>.</w:t>
            </w: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7D706C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CF760" w14:textId="62E4093B" w:rsidR="00AA4F6C" w:rsidRPr="00037F93" w:rsidRDefault="00BE474A" w:rsidP="00F43263">
            <w:pPr>
              <w:pStyle w:val="NormalWeb"/>
              <w:numPr>
                <w:ilvl w:val="0"/>
                <w:numId w:val="28"/>
              </w:numPr>
              <w:ind w:left="73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37F93">
              <w:rPr>
                <w:rFonts w:asciiTheme="minorHAnsi" w:hAnsiTheme="minorHAnsi" w:cstheme="minorHAnsi"/>
                <w:sz w:val="20"/>
                <w:szCs w:val="20"/>
              </w:rPr>
              <w:t>Educated to Degree or equivalent qualification level</w:t>
            </w:r>
          </w:p>
        </w:tc>
      </w:tr>
      <w:tr w:rsidR="00B05272" w:rsidRPr="00A27799" w14:paraId="5693BA88" w14:textId="77777777" w:rsidTr="00E9592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037F93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1A2E08C6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TECHNICAL/ BEHAVIOURAL/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33F26" w14:textId="1E26F00C" w:rsidR="00BC6821" w:rsidRPr="00F43263" w:rsidRDefault="00BC6821" w:rsidP="00DA3EF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Strong commercial acumen to interpret IM, negotiate with providers and manage the training budget</w:t>
            </w:r>
          </w:p>
          <w:p w14:paraId="01A7A925" w14:textId="39BD1EFD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Coaching, mentoring and facilitation skills </w:t>
            </w:r>
          </w:p>
          <w:p w14:paraId="181094C9" w14:textId="2FFCC7EE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Outstanding relationship building skills to champion change and continuous improvement</w:t>
            </w:r>
          </w:p>
          <w:p w14:paraId="4F289A2B" w14:textId="38267805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Pro-active, creative and results orientated</w:t>
            </w:r>
          </w:p>
          <w:p w14:paraId="63AF3CF9" w14:textId="350A8876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Strong stakeholder management</w:t>
            </w:r>
          </w:p>
          <w:p w14:paraId="54C2FA6B" w14:textId="0A11BBF8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Knowledge of end-to-end, design and delivery of L&amp;D programmes </w:t>
            </w:r>
          </w:p>
          <w:p w14:paraId="570DAC2B" w14:textId="18F2AA8A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Experience of managing a learning budget </w:t>
            </w:r>
          </w:p>
          <w:p w14:paraId="4292CA88" w14:textId="7B2E6229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Excellent communication (verbal and written) </w:t>
            </w:r>
          </w:p>
          <w:p w14:paraId="1470A63D" w14:textId="45E901B0" w:rsidR="00BC6821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Experience of using software to development online and eLearning content.</w:t>
            </w:r>
          </w:p>
          <w:p w14:paraId="38468042" w14:textId="05596569" w:rsidR="00054CA8" w:rsidRPr="00F43263" w:rsidRDefault="00BC6821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Highly skilled interpersonal skills with the ability to influence at all levels of seniority and experience</w:t>
            </w:r>
          </w:p>
          <w:p w14:paraId="4664C100" w14:textId="7E14E6B0" w:rsidR="00BF2E20" w:rsidRPr="00E95920" w:rsidRDefault="00AB13F7" w:rsidP="00F4326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ind w:left="731" w:hanging="425"/>
              <w:rPr>
                <w:rFonts w:asciiTheme="minorHAnsi" w:eastAsia="Times New Roman" w:hAnsiTheme="minorHAnsi" w:cstheme="minorHAnsi"/>
              </w:rPr>
            </w:pPr>
            <w:r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="00BC6821" w:rsidRPr="00F43263">
              <w:rPr>
                <w:rFonts w:asciiTheme="minorHAnsi" w:eastAsia="Times New Roman" w:hAnsiTheme="minorHAnsi" w:cstheme="minorHAnsi"/>
                <w:sz w:val="20"/>
                <w:szCs w:val="20"/>
              </w:rPr>
              <w:t>xcellent Relationship Building abilities across all levels</w:t>
            </w:r>
          </w:p>
        </w:tc>
      </w:tr>
    </w:tbl>
    <w:tbl>
      <w:tblPr>
        <w:tblStyle w:val="TableGrid"/>
        <w:tblpPr w:vertAnchor="page" w:horzAnchor="margin" w:tblpY="931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E95920" w:rsidRPr="00A27799" w14:paraId="441F72B6" w14:textId="77777777" w:rsidTr="00E95920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105241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7814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D7B89D5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FE1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F2DA9DD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5EF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5920" w:rsidRPr="00A27799" w14:paraId="56FC1FA9" w14:textId="77777777" w:rsidTr="00E95920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05809580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30F3F9C3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267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0A4E949D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18C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1B5D869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8F6" w14:textId="77777777" w:rsidR="00E95920" w:rsidRPr="00A27799" w:rsidRDefault="00E95920" w:rsidP="00E959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27068ED9" w:rsidR="00B05272" w:rsidRPr="00A27799" w:rsidRDefault="00B05272" w:rsidP="00E95920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9D9"/>
    <w:multiLevelType w:val="hybridMultilevel"/>
    <w:tmpl w:val="AAF4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BF"/>
    <w:multiLevelType w:val="hybridMultilevel"/>
    <w:tmpl w:val="E71E2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59D8"/>
    <w:multiLevelType w:val="hybridMultilevel"/>
    <w:tmpl w:val="26E0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41AC"/>
    <w:multiLevelType w:val="hybridMultilevel"/>
    <w:tmpl w:val="6DA6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01E"/>
    <w:multiLevelType w:val="hybridMultilevel"/>
    <w:tmpl w:val="380A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73AD2"/>
    <w:multiLevelType w:val="hybridMultilevel"/>
    <w:tmpl w:val="9B56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8F44977"/>
    <w:multiLevelType w:val="multilevel"/>
    <w:tmpl w:val="38D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306C"/>
    <w:multiLevelType w:val="hybridMultilevel"/>
    <w:tmpl w:val="D968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74447B8"/>
    <w:multiLevelType w:val="hybridMultilevel"/>
    <w:tmpl w:val="2F06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94"/>
    <w:multiLevelType w:val="hybridMultilevel"/>
    <w:tmpl w:val="C9D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B719DE"/>
    <w:multiLevelType w:val="hybridMultilevel"/>
    <w:tmpl w:val="82C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15DC4"/>
    <w:multiLevelType w:val="hybridMultilevel"/>
    <w:tmpl w:val="01E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594662D"/>
    <w:multiLevelType w:val="hybridMultilevel"/>
    <w:tmpl w:val="4ACC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60470"/>
    <w:multiLevelType w:val="hybridMultilevel"/>
    <w:tmpl w:val="F934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F6396"/>
    <w:multiLevelType w:val="hybridMultilevel"/>
    <w:tmpl w:val="86365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5ED3D0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545CE6"/>
    <w:multiLevelType w:val="hybridMultilevel"/>
    <w:tmpl w:val="6A06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58B1592"/>
    <w:multiLevelType w:val="hybridMultilevel"/>
    <w:tmpl w:val="544E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45F08"/>
    <w:multiLevelType w:val="multilevel"/>
    <w:tmpl w:val="144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063878">
    <w:abstractNumId w:val="27"/>
  </w:num>
  <w:num w:numId="2" w16cid:durableId="713651247">
    <w:abstractNumId w:val="15"/>
  </w:num>
  <w:num w:numId="3" w16cid:durableId="1371494552">
    <w:abstractNumId w:val="17"/>
  </w:num>
  <w:num w:numId="4" w16cid:durableId="424346920">
    <w:abstractNumId w:val="25"/>
  </w:num>
  <w:num w:numId="5" w16cid:durableId="2026399955">
    <w:abstractNumId w:val="2"/>
  </w:num>
  <w:num w:numId="6" w16cid:durableId="1479108603">
    <w:abstractNumId w:val="10"/>
  </w:num>
  <w:num w:numId="7" w16cid:durableId="29915158">
    <w:abstractNumId w:val="29"/>
  </w:num>
  <w:num w:numId="8" w16cid:durableId="1643540052">
    <w:abstractNumId w:val="19"/>
  </w:num>
  <w:num w:numId="9" w16cid:durableId="1487430086">
    <w:abstractNumId w:val="9"/>
  </w:num>
  <w:num w:numId="10" w16cid:durableId="1584140915">
    <w:abstractNumId w:val="12"/>
  </w:num>
  <w:num w:numId="11" w16cid:durableId="571307609">
    <w:abstractNumId w:val="26"/>
  </w:num>
  <w:num w:numId="12" w16cid:durableId="1610696510">
    <w:abstractNumId w:val="22"/>
  </w:num>
  <w:num w:numId="13" w16cid:durableId="1533179378">
    <w:abstractNumId w:val="3"/>
  </w:num>
  <w:num w:numId="14" w16cid:durableId="1187599962">
    <w:abstractNumId w:val="8"/>
  </w:num>
  <w:num w:numId="15" w16cid:durableId="1361935841">
    <w:abstractNumId w:val="31"/>
  </w:num>
  <w:num w:numId="16" w16cid:durableId="1552955221">
    <w:abstractNumId w:val="7"/>
  </w:num>
  <w:num w:numId="17" w16cid:durableId="1744403732">
    <w:abstractNumId w:val="24"/>
  </w:num>
  <w:num w:numId="18" w16cid:durableId="1620141287">
    <w:abstractNumId w:val="14"/>
  </w:num>
  <w:num w:numId="19" w16cid:durableId="1242300431">
    <w:abstractNumId w:val="21"/>
  </w:num>
  <w:num w:numId="20" w16cid:durableId="27726662">
    <w:abstractNumId w:val="4"/>
  </w:num>
  <w:num w:numId="21" w16cid:durableId="1197696121">
    <w:abstractNumId w:val="18"/>
  </w:num>
  <w:num w:numId="22" w16cid:durableId="944187471">
    <w:abstractNumId w:val="5"/>
  </w:num>
  <w:num w:numId="23" w16cid:durableId="1918245284">
    <w:abstractNumId w:val="16"/>
  </w:num>
  <w:num w:numId="24" w16cid:durableId="419372586">
    <w:abstractNumId w:val="30"/>
  </w:num>
  <w:num w:numId="25" w16cid:durableId="1657029998">
    <w:abstractNumId w:val="13"/>
  </w:num>
  <w:num w:numId="26" w16cid:durableId="1200556909">
    <w:abstractNumId w:val="0"/>
  </w:num>
  <w:num w:numId="27" w16cid:durableId="655498738">
    <w:abstractNumId w:val="28"/>
  </w:num>
  <w:num w:numId="28" w16cid:durableId="303898174">
    <w:abstractNumId w:val="23"/>
  </w:num>
  <w:num w:numId="29" w16cid:durableId="1093160580">
    <w:abstractNumId w:val="20"/>
  </w:num>
  <w:num w:numId="30" w16cid:durableId="618536359">
    <w:abstractNumId w:val="11"/>
  </w:num>
  <w:num w:numId="31" w16cid:durableId="75253103">
    <w:abstractNumId w:val="1"/>
  </w:num>
  <w:num w:numId="32" w16cid:durableId="597374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1118D"/>
    <w:rsid w:val="00016B40"/>
    <w:rsid w:val="000270F4"/>
    <w:rsid w:val="00037F93"/>
    <w:rsid w:val="000440D1"/>
    <w:rsid w:val="00054CA8"/>
    <w:rsid w:val="000911E8"/>
    <w:rsid w:val="000B50D1"/>
    <w:rsid w:val="000B61D4"/>
    <w:rsid w:val="000C289A"/>
    <w:rsid w:val="000D07E9"/>
    <w:rsid w:val="000E05B1"/>
    <w:rsid w:val="000F102D"/>
    <w:rsid w:val="00121D84"/>
    <w:rsid w:val="00177808"/>
    <w:rsid w:val="00181A0C"/>
    <w:rsid w:val="001A0804"/>
    <w:rsid w:val="001A1084"/>
    <w:rsid w:val="001A5D6F"/>
    <w:rsid w:val="001B1E4B"/>
    <w:rsid w:val="001C08C5"/>
    <w:rsid w:val="001E0AE9"/>
    <w:rsid w:val="001E3614"/>
    <w:rsid w:val="001E79C1"/>
    <w:rsid w:val="001F015F"/>
    <w:rsid w:val="00212EDA"/>
    <w:rsid w:val="00214BAF"/>
    <w:rsid w:val="00220392"/>
    <w:rsid w:val="002248D2"/>
    <w:rsid w:val="00261D18"/>
    <w:rsid w:val="002669AE"/>
    <w:rsid w:val="00280638"/>
    <w:rsid w:val="00284D2D"/>
    <w:rsid w:val="00296F9A"/>
    <w:rsid w:val="00296FC4"/>
    <w:rsid w:val="002A60CA"/>
    <w:rsid w:val="002B6551"/>
    <w:rsid w:val="002C1EA1"/>
    <w:rsid w:val="002E1A17"/>
    <w:rsid w:val="002E323E"/>
    <w:rsid w:val="002F2495"/>
    <w:rsid w:val="002F5C99"/>
    <w:rsid w:val="00302029"/>
    <w:rsid w:val="00315379"/>
    <w:rsid w:val="0033446C"/>
    <w:rsid w:val="00335216"/>
    <w:rsid w:val="0033640A"/>
    <w:rsid w:val="003547B7"/>
    <w:rsid w:val="0035588C"/>
    <w:rsid w:val="003644F1"/>
    <w:rsid w:val="0036508F"/>
    <w:rsid w:val="003849F7"/>
    <w:rsid w:val="00386814"/>
    <w:rsid w:val="00390524"/>
    <w:rsid w:val="003A5D94"/>
    <w:rsid w:val="003A6002"/>
    <w:rsid w:val="003C0D4F"/>
    <w:rsid w:val="003C1B68"/>
    <w:rsid w:val="003C7A26"/>
    <w:rsid w:val="004369CE"/>
    <w:rsid w:val="004423A6"/>
    <w:rsid w:val="0044302C"/>
    <w:rsid w:val="004525EA"/>
    <w:rsid w:val="004534BE"/>
    <w:rsid w:val="00454C5A"/>
    <w:rsid w:val="00456C17"/>
    <w:rsid w:val="00471B2B"/>
    <w:rsid w:val="004725C5"/>
    <w:rsid w:val="0048692A"/>
    <w:rsid w:val="004A42F0"/>
    <w:rsid w:val="004B18AA"/>
    <w:rsid w:val="004B30F0"/>
    <w:rsid w:val="004B7C2C"/>
    <w:rsid w:val="004C61A2"/>
    <w:rsid w:val="004C788C"/>
    <w:rsid w:val="004E2013"/>
    <w:rsid w:val="00505B49"/>
    <w:rsid w:val="00507007"/>
    <w:rsid w:val="00511E2D"/>
    <w:rsid w:val="005310E1"/>
    <w:rsid w:val="005365C0"/>
    <w:rsid w:val="00560471"/>
    <w:rsid w:val="00563BB3"/>
    <w:rsid w:val="00571D5D"/>
    <w:rsid w:val="005745FC"/>
    <w:rsid w:val="005755CB"/>
    <w:rsid w:val="00582EEA"/>
    <w:rsid w:val="0058424B"/>
    <w:rsid w:val="00594754"/>
    <w:rsid w:val="005A7D08"/>
    <w:rsid w:val="005B19AC"/>
    <w:rsid w:val="005B7305"/>
    <w:rsid w:val="005C28DF"/>
    <w:rsid w:val="005C47EB"/>
    <w:rsid w:val="005C7DCA"/>
    <w:rsid w:val="005F52CD"/>
    <w:rsid w:val="005F5E73"/>
    <w:rsid w:val="0060428E"/>
    <w:rsid w:val="0061246A"/>
    <w:rsid w:val="00622B0A"/>
    <w:rsid w:val="00631D5D"/>
    <w:rsid w:val="006346C5"/>
    <w:rsid w:val="00652BD6"/>
    <w:rsid w:val="006674E5"/>
    <w:rsid w:val="00677836"/>
    <w:rsid w:val="006A3FB6"/>
    <w:rsid w:val="006C444C"/>
    <w:rsid w:val="006D76F6"/>
    <w:rsid w:val="006E1BD3"/>
    <w:rsid w:val="00703BF9"/>
    <w:rsid w:val="00724ACB"/>
    <w:rsid w:val="007279C0"/>
    <w:rsid w:val="00733AE4"/>
    <w:rsid w:val="007470CC"/>
    <w:rsid w:val="00751A19"/>
    <w:rsid w:val="00764EF8"/>
    <w:rsid w:val="007702B4"/>
    <w:rsid w:val="007C09FE"/>
    <w:rsid w:val="007D1B38"/>
    <w:rsid w:val="007D208D"/>
    <w:rsid w:val="007D2446"/>
    <w:rsid w:val="007D706C"/>
    <w:rsid w:val="007E213C"/>
    <w:rsid w:val="007E567B"/>
    <w:rsid w:val="007E7AE8"/>
    <w:rsid w:val="007F2C90"/>
    <w:rsid w:val="008002DA"/>
    <w:rsid w:val="0080273F"/>
    <w:rsid w:val="008152D7"/>
    <w:rsid w:val="008226D8"/>
    <w:rsid w:val="008248F9"/>
    <w:rsid w:val="0082598A"/>
    <w:rsid w:val="008272E7"/>
    <w:rsid w:val="00850CC3"/>
    <w:rsid w:val="0085657F"/>
    <w:rsid w:val="00865744"/>
    <w:rsid w:val="008832E5"/>
    <w:rsid w:val="0088480C"/>
    <w:rsid w:val="00890286"/>
    <w:rsid w:val="008A4448"/>
    <w:rsid w:val="008A47E8"/>
    <w:rsid w:val="008A67C2"/>
    <w:rsid w:val="008C3470"/>
    <w:rsid w:val="008C5ECB"/>
    <w:rsid w:val="008D3AAB"/>
    <w:rsid w:val="008E3712"/>
    <w:rsid w:val="008E564A"/>
    <w:rsid w:val="008F0F47"/>
    <w:rsid w:val="008F1CD8"/>
    <w:rsid w:val="00900438"/>
    <w:rsid w:val="0092046C"/>
    <w:rsid w:val="00925660"/>
    <w:rsid w:val="00931D60"/>
    <w:rsid w:val="009407BD"/>
    <w:rsid w:val="009529ED"/>
    <w:rsid w:val="00963B67"/>
    <w:rsid w:val="009853CF"/>
    <w:rsid w:val="009A4A7B"/>
    <w:rsid w:val="009A7666"/>
    <w:rsid w:val="009B70C9"/>
    <w:rsid w:val="009C2C63"/>
    <w:rsid w:val="009E2B33"/>
    <w:rsid w:val="009F616C"/>
    <w:rsid w:val="009F70BB"/>
    <w:rsid w:val="00A1388A"/>
    <w:rsid w:val="00A24576"/>
    <w:rsid w:val="00A27799"/>
    <w:rsid w:val="00A30528"/>
    <w:rsid w:val="00A31421"/>
    <w:rsid w:val="00A324B5"/>
    <w:rsid w:val="00A44580"/>
    <w:rsid w:val="00A4682A"/>
    <w:rsid w:val="00A637AE"/>
    <w:rsid w:val="00A66665"/>
    <w:rsid w:val="00A71790"/>
    <w:rsid w:val="00A82A2E"/>
    <w:rsid w:val="00A905F8"/>
    <w:rsid w:val="00A927B9"/>
    <w:rsid w:val="00AA4F6C"/>
    <w:rsid w:val="00AB08AC"/>
    <w:rsid w:val="00AB13F7"/>
    <w:rsid w:val="00AB16C8"/>
    <w:rsid w:val="00AC0996"/>
    <w:rsid w:val="00AC5E83"/>
    <w:rsid w:val="00AE1F9F"/>
    <w:rsid w:val="00AF0BF9"/>
    <w:rsid w:val="00AF5B4A"/>
    <w:rsid w:val="00B05272"/>
    <w:rsid w:val="00B06514"/>
    <w:rsid w:val="00B07067"/>
    <w:rsid w:val="00B10B74"/>
    <w:rsid w:val="00B116C7"/>
    <w:rsid w:val="00B24ACD"/>
    <w:rsid w:val="00B40966"/>
    <w:rsid w:val="00B4328F"/>
    <w:rsid w:val="00B55026"/>
    <w:rsid w:val="00B6401D"/>
    <w:rsid w:val="00B661B5"/>
    <w:rsid w:val="00B6684E"/>
    <w:rsid w:val="00B81AD5"/>
    <w:rsid w:val="00B85B53"/>
    <w:rsid w:val="00B96A24"/>
    <w:rsid w:val="00B97AB0"/>
    <w:rsid w:val="00BB0A58"/>
    <w:rsid w:val="00BB470C"/>
    <w:rsid w:val="00BC3411"/>
    <w:rsid w:val="00BC6821"/>
    <w:rsid w:val="00BE474A"/>
    <w:rsid w:val="00BE6860"/>
    <w:rsid w:val="00BE68CF"/>
    <w:rsid w:val="00BF2E20"/>
    <w:rsid w:val="00BF5546"/>
    <w:rsid w:val="00BF7834"/>
    <w:rsid w:val="00C15F69"/>
    <w:rsid w:val="00C16F75"/>
    <w:rsid w:val="00C26950"/>
    <w:rsid w:val="00C37D00"/>
    <w:rsid w:val="00C41FCB"/>
    <w:rsid w:val="00C503D1"/>
    <w:rsid w:val="00C5584D"/>
    <w:rsid w:val="00C60F8B"/>
    <w:rsid w:val="00C83763"/>
    <w:rsid w:val="00C94428"/>
    <w:rsid w:val="00CB1A94"/>
    <w:rsid w:val="00CE0417"/>
    <w:rsid w:val="00CE07B8"/>
    <w:rsid w:val="00CE098E"/>
    <w:rsid w:val="00CE17F2"/>
    <w:rsid w:val="00D608F6"/>
    <w:rsid w:val="00D65404"/>
    <w:rsid w:val="00D805F2"/>
    <w:rsid w:val="00D82258"/>
    <w:rsid w:val="00D90448"/>
    <w:rsid w:val="00D937E9"/>
    <w:rsid w:val="00DA1EBB"/>
    <w:rsid w:val="00DA3EFB"/>
    <w:rsid w:val="00DB0C7D"/>
    <w:rsid w:val="00DC02C8"/>
    <w:rsid w:val="00DC4F42"/>
    <w:rsid w:val="00DE5509"/>
    <w:rsid w:val="00DE62EA"/>
    <w:rsid w:val="00DE67A0"/>
    <w:rsid w:val="00DF3532"/>
    <w:rsid w:val="00E04664"/>
    <w:rsid w:val="00E121E3"/>
    <w:rsid w:val="00E333FF"/>
    <w:rsid w:val="00E369B1"/>
    <w:rsid w:val="00E436FF"/>
    <w:rsid w:val="00E5514D"/>
    <w:rsid w:val="00E72A5B"/>
    <w:rsid w:val="00E77754"/>
    <w:rsid w:val="00E87756"/>
    <w:rsid w:val="00E93BBF"/>
    <w:rsid w:val="00E94CF0"/>
    <w:rsid w:val="00E95920"/>
    <w:rsid w:val="00EB14F3"/>
    <w:rsid w:val="00EB22D2"/>
    <w:rsid w:val="00EC44AA"/>
    <w:rsid w:val="00F10826"/>
    <w:rsid w:val="00F1121C"/>
    <w:rsid w:val="00F27A9D"/>
    <w:rsid w:val="00F43263"/>
    <w:rsid w:val="00F43678"/>
    <w:rsid w:val="00F64CCC"/>
    <w:rsid w:val="00F71BCC"/>
    <w:rsid w:val="00F96D5A"/>
    <w:rsid w:val="00F96E1D"/>
    <w:rsid w:val="00FB6BAE"/>
    <w:rsid w:val="00FC0835"/>
    <w:rsid w:val="00FC1691"/>
    <w:rsid w:val="00FC1E71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rsid w:val="008A67C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G Times" w:eastAsia="Times New Roman" w:hAnsi="CG Times" w:cs="Times New Roman"/>
      <w:snapToGrid w:val="0"/>
      <w:color w:val="auto"/>
      <w:sz w:val="20"/>
      <w:szCs w:val="20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8A67C2"/>
    <w:rPr>
      <w:rFonts w:ascii="CG Times" w:eastAsia="Times New Roman" w:hAnsi="CG Times" w:cs="Times New Roman"/>
      <w:snapToGrid w:val="0"/>
      <w:sz w:val="20"/>
      <w:szCs w:val="20"/>
      <w:lang w:val="ru-RU" w:eastAsia="en-US"/>
    </w:rPr>
  </w:style>
  <w:style w:type="paragraph" w:styleId="Revision">
    <w:name w:val="Revision"/>
    <w:hidden/>
    <w:uiPriority w:val="99"/>
    <w:semiHidden/>
    <w:rsid w:val="008152D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Imy Hayes</dc:creator>
  <cp:keywords/>
  <cp:lastModifiedBy>Imy Hayes</cp:lastModifiedBy>
  <cp:revision>3</cp:revision>
  <dcterms:created xsi:type="dcterms:W3CDTF">2025-02-05T11:26:00Z</dcterms:created>
  <dcterms:modified xsi:type="dcterms:W3CDTF">2025-02-05T12:10:00Z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