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83"/>
        <w:gridCol w:w="3064"/>
        <w:gridCol w:w="1183"/>
        <w:gridCol w:w="3805"/>
        <w:gridCol w:w="161"/>
      </w:tblGrid>
      <w:tr w:rsidR="00B05272" w:rsidRPr="00A27799" w14:paraId="64576597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7EE9D394" w:rsidR="00B05272" w:rsidRPr="00A16C36" w:rsidRDefault="00A16C36" w:rsidP="00454C5A">
            <w:pPr>
              <w:pStyle w:val="NormalWeb"/>
              <w:rPr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</w:pPr>
            <w:r w:rsidRPr="00A16C36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>Commercial Finance Analyst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5545FDAA" w:rsidR="00B05272" w:rsidRPr="00A27799" w:rsidRDefault="00454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Hybrid</w:t>
            </w:r>
          </w:p>
        </w:tc>
      </w:tr>
      <w:tr w:rsidR="00B05272" w:rsidRPr="00A27799" w14:paraId="4EE69A40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75AE6D34" w:rsidR="00B05272" w:rsidRPr="00A27799" w:rsidRDefault="00454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Commercial Finance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55D3E779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09CF459" w14:textId="77777777">
        <w:trPr>
          <w:trHeight w:val="28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31C5A81F" w:rsidR="00B05272" w:rsidRPr="00A27799" w:rsidRDefault="00454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Head of Finance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3D63F495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FB31440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</w:t>
            </w:r>
            <w:proofErr w:type="spell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124FC7EA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19B52690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>
        <w:trPr>
          <w:trHeight w:val="28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Respons</w:t>
            </w:r>
            <w:proofErr w:type="spell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>
        <w:trPr>
          <w:trHeight w:val="337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8C8DDF" w14:textId="77777777" w:rsidR="00A16C36" w:rsidRPr="00F668AC" w:rsidRDefault="00A16C36" w:rsidP="00A16C36">
            <w:pPr>
              <w:pStyle w:val="NormalWeb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We are looking for a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Finance Analyst to join C&amp;C’s Off Trade Commercial Finance Team.</w:t>
            </w:r>
          </w:p>
          <w:p w14:paraId="282B5564" w14:textId="426D0D4D" w:rsidR="00A16C36" w:rsidRPr="00F668AC" w:rsidRDefault="00A16C36" w:rsidP="00A16C36">
            <w:pPr>
              <w:pStyle w:val="NormalWeb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5A4EA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You will work closely with colleagues within C&amp;C’s Off Trade Commercial Finance Team and the Off Trade Sales Team in reviewing, analysing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</w:t>
            </w:r>
            <w:r w:rsidRPr="005A4EA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and reporting performance versus internal Budgets and wider market performance.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You will review Commercial forecasts and provide initial review of Commercial proposals, ensuring these are in line with business strategy.</w:t>
            </w:r>
          </w:p>
          <w:p w14:paraId="63E1460B" w14:textId="69C1B596" w:rsidR="00B05272" w:rsidRPr="00E93BBF" w:rsidRDefault="00B05272" w:rsidP="00E93BBF">
            <w:pPr>
              <w:pStyle w:val="NormalWeb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B05272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>
        <w:trPr>
          <w:trHeight w:val="721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885312" w14:textId="77777777" w:rsidR="00A16C36" w:rsidRPr="00147DAA" w:rsidRDefault="00A16C36" w:rsidP="00A16C36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Assist in the delivery of the Off Trade strategy and budgeted profit. </w:t>
            </w:r>
          </w:p>
          <w:p w14:paraId="29E7A020" w14:textId="77777777" w:rsidR="00A16C36" w:rsidRPr="00147DAA" w:rsidRDefault="00A16C36" w:rsidP="00A16C36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Assist the Head of Finance and 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c</w:t>
            </w: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ommercial 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m</w:t>
            </w: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anagers with the preparation and review of all relevant reports and submissions, including weekly reports, period reports, QFR and budgets. </w:t>
            </w:r>
          </w:p>
          <w:p w14:paraId="35F6A326" w14:textId="7150F1EF" w:rsidR="00A16C36" w:rsidRPr="00147DAA" w:rsidRDefault="00A16C36" w:rsidP="00A16C36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Assist in the preparation of monthly commercial reviews, clearly identifying variances to expectations, risks, and opportunities. </w:t>
            </w:r>
          </w:p>
          <w:p w14:paraId="51DDB322" w14:textId="77777777" w:rsidR="00A16C36" w:rsidRDefault="00A16C36" w:rsidP="00A16C36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Provide relevant insight, KPIs and financial data to the Commercial Finance 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and Sales teams.</w:t>
            </w:r>
          </w:p>
          <w:p w14:paraId="412E0062" w14:textId="77777777" w:rsidR="00A16C36" w:rsidRPr="00147DAA" w:rsidRDefault="00A16C36" w:rsidP="00A16C36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Assist the Head of Finance and the 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c</w:t>
            </w: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ommercial 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m</w:t>
            </w: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anagers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 by providing initial reviews of Commercial proposals and summarising findings and recommendations.</w:t>
            </w: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CD1920F" w14:textId="77777777" w:rsidR="00A16C36" w:rsidRDefault="00A16C36" w:rsidP="00A16C36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Work closely with colleagues across the wider business to ensure a joined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-</w:t>
            </w:r>
            <w:r w:rsidRPr="00147DAA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up view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.</w:t>
            </w:r>
          </w:p>
          <w:p w14:paraId="2EDD16DA" w14:textId="77777777" w:rsidR="00A16C36" w:rsidRPr="00147DAA" w:rsidRDefault="00A16C36" w:rsidP="00A16C36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 w:rsidRPr="00147DA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Liaise closely with the Sales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</w:t>
            </w:r>
            <w:r w:rsidRPr="00147DA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eam,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including rolling review of channel forecasts and attending to ad hoc requests.</w:t>
            </w:r>
          </w:p>
          <w:p w14:paraId="6915EAD2" w14:textId="77777777" w:rsidR="00A16C36" w:rsidRPr="00047273" w:rsidRDefault="00A16C36" w:rsidP="00A16C36">
            <w:pPr>
              <w:pStyle w:val="NormalWeb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04727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We're also proud to offer a</w:t>
            </w:r>
            <w:r w:rsidRPr="00047273">
              <w:rPr>
                <w:rStyle w:val="white-space-pre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Pr="00047273">
              <w:rPr>
                <w:rStyle w:val="Strong"/>
                <w:rFonts w:ascii="Segoe UI" w:hAnsi="Segoe UI" w:cs="Segoe UI"/>
                <w:sz w:val="21"/>
                <w:szCs w:val="21"/>
                <w:shd w:val="clear" w:color="auto" w:fill="FFFFFF"/>
              </w:rPr>
              <w:t>study support</w:t>
            </w:r>
            <w:r w:rsidRPr="00047273">
              <w:rPr>
                <w:rStyle w:val="white-space-pre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Pr="0004727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package for eligible team members wishing to further their</w:t>
            </w:r>
            <w:r w:rsidRPr="00047273">
              <w:rPr>
                <w:rStyle w:val="white-space-pre"/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047273">
              <w:rPr>
                <w:rStyle w:val="Strong"/>
                <w:rFonts w:ascii="Segoe UI" w:hAnsi="Segoe UI" w:cs="Segoe UI"/>
                <w:sz w:val="21"/>
                <w:szCs w:val="21"/>
                <w:shd w:val="clear" w:color="auto" w:fill="FFFFFF"/>
              </w:rPr>
              <w:t>academic</w:t>
            </w:r>
            <w:r w:rsidRPr="00047273">
              <w:rPr>
                <w:rStyle w:val="white-space-pre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Pr="0004727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qualifications.</w:t>
            </w:r>
          </w:p>
          <w:p w14:paraId="08DE6E35" w14:textId="77777777" w:rsidR="00A16C36" w:rsidRDefault="00A16C36" w:rsidP="00A16C36">
            <w:pPr>
              <w:pStyle w:val="NormalWeb"/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Our Finance team follows a hybrid schedule working in-office two days a week and remotely for the rest. Our in-office time is used primarily for team meetings and formal and informal collaboration. </w:t>
            </w:r>
          </w:p>
          <w:p w14:paraId="6F94FC49" w14:textId="77777777" w:rsidR="004369CE" w:rsidRDefault="004369CE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677CE" w14:textId="77777777" w:rsidR="008248F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5099A" w14:textId="77777777" w:rsidR="008248F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2BD69" w14:textId="77777777" w:rsidR="008248F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9AD44" w14:textId="77777777" w:rsidR="008248F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44554C" w14:textId="40E6F486" w:rsidR="008248F9" w:rsidRPr="00D937E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A324B5" w:rsidRPr="00A27799" w:rsidRDefault="00A324B5" w:rsidP="00A324B5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B05272" w:rsidRPr="00A27799" w:rsidRDefault="00296F9A" w:rsidP="00A324B5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B05272" w:rsidRPr="00A27799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985A3D" w14:textId="690922BF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70E1C154" w14:textId="77777777">
        <w:trPr>
          <w:trHeight w:val="127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D50CE" w14:textId="1E86E476" w:rsidR="00B05272" w:rsidRPr="00A27799" w:rsidRDefault="00B05272">
            <w:pPr>
              <w:ind w:right="84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3AF44CC6" w14:textId="77777777">
        <w:trPr>
          <w:trHeight w:val="266"/>
        </w:trPr>
        <w:tc>
          <w:tcPr>
            <w:tcW w:w="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KNOWLEDGE/  EXPERIENCE/ SKILLS</w:t>
            </w:r>
          </w:p>
        </w:tc>
        <w:tc>
          <w:tcPr>
            <w:tcW w:w="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>
        <w:trPr>
          <w:trHeight w:val="381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41ADCB" w14:textId="77777777" w:rsidR="00A16C36" w:rsidRPr="008D4299" w:rsidRDefault="00A16C36" w:rsidP="00A16C36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8D42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Good commercial awareness and business understanding. </w:t>
            </w:r>
          </w:p>
          <w:p w14:paraId="37B4FBE5" w14:textId="77777777" w:rsidR="00A16C36" w:rsidRPr="008D4299" w:rsidRDefault="00A16C36" w:rsidP="00A16C36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8D42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Excellent attention to detail. </w:t>
            </w:r>
          </w:p>
          <w:p w14:paraId="35304E0B" w14:textId="77777777" w:rsidR="00A16C36" w:rsidRPr="008D4299" w:rsidRDefault="00A16C36" w:rsidP="00A16C36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8D42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Motivated by adding value. </w:t>
            </w:r>
          </w:p>
          <w:p w14:paraId="192ECB46" w14:textId="77777777" w:rsidR="00A16C36" w:rsidRPr="008D4299" w:rsidRDefault="00A16C36" w:rsidP="00A16C36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8D42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Dedicated to providing useful and user-friendly information. </w:t>
            </w:r>
          </w:p>
          <w:p w14:paraId="3338F6A6" w14:textId="77777777" w:rsidR="00A16C36" w:rsidRPr="008D4299" w:rsidRDefault="00A16C36" w:rsidP="00A16C36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8D42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Strong work ethic. </w:t>
            </w:r>
          </w:p>
          <w:p w14:paraId="2B5B1D51" w14:textId="77777777" w:rsidR="00A16C36" w:rsidRPr="005A4EA0" w:rsidRDefault="00A16C36" w:rsidP="00A16C36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5A4EA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Previous of analytical experience in financial analysis, accounting or related discipline is desirable. </w:t>
            </w:r>
          </w:p>
          <w:p w14:paraId="61806C30" w14:textId="77777777" w:rsidR="00A16C36" w:rsidRDefault="00A16C36" w:rsidP="00A16C36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Intermediate to </w:t>
            </w:r>
            <w:r w:rsidRPr="008D42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Advanced level proficiency in MS Excel.</w:t>
            </w:r>
          </w:p>
          <w:p w14:paraId="16C35D62" w14:textId="77777777" w:rsidR="00A16C36" w:rsidRDefault="00A16C36" w:rsidP="00A16C36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Knowledge of JDE is desirable but not essential.</w:t>
            </w:r>
          </w:p>
          <w:p w14:paraId="6F812980" w14:textId="37F74BFF" w:rsidR="00B05272" w:rsidRPr="00A27799" w:rsidRDefault="00B05272" w:rsidP="007D706C">
            <w:pPr>
              <w:pStyle w:val="NormalWeb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B05272" w:rsidRPr="007D706C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6CF760" w14:textId="2317C2E7" w:rsidR="00AA4F6C" w:rsidRPr="001E0AE9" w:rsidRDefault="00AA4F6C" w:rsidP="007D706C">
            <w:pPr>
              <w:pStyle w:val="NormalWeb"/>
              <w:ind w:left="7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B05272" w:rsidRPr="00A27799" w14:paraId="5693BA88" w14:textId="77777777">
        <w:trPr>
          <w:trHeight w:val="266"/>
        </w:trPr>
        <w:tc>
          <w:tcPr>
            <w:tcW w:w="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B05272" w:rsidRPr="001E0AE9" w:rsidRDefault="00B05272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2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TECHNICAL/  BEHAVIOURAL/ PERSONAL COMPETENCIES</w:t>
            </w:r>
          </w:p>
        </w:tc>
        <w:tc>
          <w:tcPr>
            <w:tcW w:w="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24D012E" w14:textId="77777777">
        <w:trPr>
          <w:trHeight w:val="149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5A00EC" w14:textId="77777777" w:rsidR="00CB5D01" w:rsidRDefault="00CB5D01" w:rsidP="00CB5D01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Intermediate to </w:t>
            </w:r>
            <w:r w:rsidRPr="008D42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Advanced level proficiency in MS Excel.</w:t>
            </w:r>
          </w:p>
          <w:p w14:paraId="27E23CF8" w14:textId="77777777" w:rsidR="00CB5D01" w:rsidRDefault="00CB5D01" w:rsidP="00CB5D01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Knowledge of JDE is desirable but not essential.</w:t>
            </w:r>
          </w:p>
          <w:p w14:paraId="4664C100" w14:textId="26C6058F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726" w:tblpY="8820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B05272" w:rsidRPr="00A27799" w14:paraId="1E8DA8BC" w14:textId="77777777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F3315E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B9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70DE41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E05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6AD92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7F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5FCF0BB" w14:textId="77777777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B8EECD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7521DFC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5E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5581C054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64E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AE21ED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55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0354030B" w14:textId="77777777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3AC2EF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ACD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4B82F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EE4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B46B2B8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A4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56A07" w14:textId="14142C26" w:rsidR="00B05272" w:rsidRPr="00A27799" w:rsidRDefault="00296F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7799">
        <w:rPr>
          <w:rFonts w:asciiTheme="minorHAnsi" w:hAnsiTheme="minorHAnsi" w:cstheme="minorHAnsi"/>
          <w:sz w:val="20"/>
          <w:szCs w:val="20"/>
        </w:rPr>
        <w:t>Back Office Use only</w:t>
      </w: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69045B"/>
    <w:multiLevelType w:val="hybridMultilevel"/>
    <w:tmpl w:val="7536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41CFC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6063878">
    <w:abstractNumId w:val="10"/>
  </w:num>
  <w:num w:numId="2" w16cid:durableId="713651247">
    <w:abstractNumId w:val="4"/>
  </w:num>
  <w:num w:numId="3" w16cid:durableId="1371494552">
    <w:abstractNumId w:val="5"/>
  </w:num>
  <w:num w:numId="4" w16cid:durableId="424346920">
    <w:abstractNumId w:val="8"/>
  </w:num>
  <w:num w:numId="5" w16cid:durableId="2026399955">
    <w:abstractNumId w:val="0"/>
  </w:num>
  <w:num w:numId="6" w16cid:durableId="1479108603">
    <w:abstractNumId w:val="2"/>
  </w:num>
  <w:num w:numId="7" w16cid:durableId="29915158">
    <w:abstractNumId w:val="11"/>
  </w:num>
  <w:num w:numId="8" w16cid:durableId="1643540052">
    <w:abstractNumId w:val="6"/>
  </w:num>
  <w:num w:numId="9" w16cid:durableId="1487430086">
    <w:abstractNumId w:val="1"/>
  </w:num>
  <w:num w:numId="10" w16cid:durableId="1584140915">
    <w:abstractNumId w:val="3"/>
  </w:num>
  <w:num w:numId="11" w16cid:durableId="571307609">
    <w:abstractNumId w:val="9"/>
  </w:num>
  <w:num w:numId="12" w16cid:durableId="1610696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B50D1"/>
    <w:rsid w:val="000B61D4"/>
    <w:rsid w:val="000D07E9"/>
    <w:rsid w:val="000F102D"/>
    <w:rsid w:val="00177808"/>
    <w:rsid w:val="001A0804"/>
    <w:rsid w:val="001A1084"/>
    <w:rsid w:val="001A5D6F"/>
    <w:rsid w:val="001C08C5"/>
    <w:rsid w:val="001E0AE9"/>
    <w:rsid w:val="00212EDA"/>
    <w:rsid w:val="00214BAF"/>
    <w:rsid w:val="002248D2"/>
    <w:rsid w:val="00280638"/>
    <w:rsid w:val="00296F9A"/>
    <w:rsid w:val="002A60CA"/>
    <w:rsid w:val="002C1EA1"/>
    <w:rsid w:val="002E1A17"/>
    <w:rsid w:val="00302029"/>
    <w:rsid w:val="00315379"/>
    <w:rsid w:val="0033640A"/>
    <w:rsid w:val="003547B7"/>
    <w:rsid w:val="0035588C"/>
    <w:rsid w:val="003644F1"/>
    <w:rsid w:val="00386814"/>
    <w:rsid w:val="00390524"/>
    <w:rsid w:val="003C0D4F"/>
    <w:rsid w:val="003C7A26"/>
    <w:rsid w:val="004369CE"/>
    <w:rsid w:val="004423A6"/>
    <w:rsid w:val="0044302C"/>
    <w:rsid w:val="00454C5A"/>
    <w:rsid w:val="00471B2B"/>
    <w:rsid w:val="004725C5"/>
    <w:rsid w:val="0048692A"/>
    <w:rsid w:val="004B30F0"/>
    <w:rsid w:val="004B7C2C"/>
    <w:rsid w:val="00507007"/>
    <w:rsid w:val="005365C0"/>
    <w:rsid w:val="00563BB3"/>
    <w:rsid w:val="00571D5D"/>
    <w:rsid w:val="005745FC"/>
    <w:rsid w:val="00582EEA"/>
    <w:rsid w:val="005A7D08"/>
    <w:rsid w:val="005C7DCA"/>
    <w:rsid w:val="005F5E73"/>
    <w:rsid w:val="0060428E"/>
    <w:rsid w:val="00631D5D"/>
    <w:rsid w:val="006346C5"/>
    <w:rsid w:val="00652BD6"/>
    <w:rsid w:val="006A3FB6"/>
    <w:rsid w:val="006E1BD3"/>
    <w:rsid w:val="00733AE4"/>
    <w:rsid w:val="00764EF8"/>
    <w:rsid w:val="007702B4"/>
    <w:rsid w:val="007C09FE"/>
    <w:rsid w:val="007D706C"/>
    <w:rsid w:val="007E213C"/>
    <w:rsid w:val="007E7AE8"/>
    <w:rsid w:val="008002DA"/>
    <w:rsid w:val="008226D8"/>
    <w:rsid w:val="008248F9"/>
    <w:rsid w:val="0082598A"/>
    <w:rsid w:val="00850CC3"/>
    <w:rsid w:val="0085657F"/>
    <w:rsid w:val="00865744"/>
    <w:rsid w:val="008A4448"/>
    <w:rsid w:val="008E3712"/>
    <w:rsid w:val="008E564A"/>
    <w:rsid w:val="0092046C"/>
    <w:rsid w:val="009853CF"/>
    <w:rsid w:val="009A4A7B"/>
    <w:rsid w:val="009A7666"/>
    <w:rsid w:val="009B70C9"/>
    <w:rsid w:val="009C2C63"/>
    <w:rsid w:val="009F70BB"/>
    <w:rsid w:val="00A16C36"/>
    <w:rsid w:val="00A27799"/>
    <w:rsid w:val="00A324B5"/>
    <w:rsid w:val="00A4682A"/>
    <w:rsid w:val="00A637AE"/>
    <w:rsid w:val="00A82A2E"/>
    <w:rsid w:val="00A905F8"/>
    <w:rsid w:val="00A927B9"/>
    <w:rsid w:val="00AA4F6C"/>
    <w:rsid w:val="00AB16C8"/>
    <w:rsid w:val="00AC5E83"/>
    <w:rsid w:val="00AE1F9F"/>
    <w:rsid w:val="00AF0BF9"/>
    <w:rsid w:val="00B05272"/>
    <w:rsid w:val="00B06514"/>
    <w:rsid w:val="00B24ACD"/>
    <w:rsid w:val="00B40966"/>
    <w:rsid w:val="00B6401D"/>
    <w:rsid w:val="00B661B5"/>
    <w:rsid w:val="00B81AD5"/>
    <w:rsid w:val="00B97AB0"/>
    <w:rsid w:val="00BC3411"/>
    <w:rsid w:val="00BE68CF"/>
    <w:rsid w:val="00BF5546"/>
    <w:rsid w:val="00C26950"/>
    <w:rsid w:val="00C5584D"/>
    <w:rsid w:val="00C60F8B"/>
    <w:rsid w:val="00C83763"/>
    <w:rsid w:val="00C94428"/>
    <w:rsid w:val="00CB5D01"/>
    <w:rsid w:val="00CE07B8"/>
    <w:rsid w:val="00CE17F2"/>
    <w:rsid w:val="00D805F2"/>
    <w:rsid w:val="00D82258"/>
    <w:rsid w:val="00D937E9"/>
    <w:rsid w:val="00DA1EBB"/>
    <w:rsid w:val="00DB0C7D"/>
    <w:rsid w:val="00DC4F42"/>
    <w:rsid w:val="00DE5509"/>
    <w:rsid w:val="00DE62EA"/>
    <w:rsid w:val="00E369B1"/>
    <w:rsid w:val="00E436FF"/>
    <w:rsid w:val="00E72A5B"/>
    <w:rsid w:val="00E87756"/>
    <w:rsid w:val="00E93BBF"/>
    <w:rsid w:val="00EB14F3"/>
    <w:rsid w:val="00EB22D2"/>
    <w:rsid w:val="00F10826"/>
    <w:rsid w:val="00F71BCC"/>
    <w:rsid w:val="00F96D5A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ligatures w14:val="standardContextual"/>
    </w:rPr>
  </w:style>
  <w:style w:type="character" w:customStyle="1" w:styleId="white-space-pre">
    <w:name w:val="white-space-pre"/>
    <w:basedOn w:val="DefaultParagraphFont"/>
    <w:rsid w:val="00A16C36"/>
  </w:style>
  <w:style w:type="character" w:styleId="Strong">
    <w:name w:val="Strong"/>
    <w:basedOn w:val="DefaultParagraphFont"/>
    <w:uiPriority w:val="22"/>
    <w:qFormat/>
    <w:rsid w:val="00A16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Danielle Stavrakis</cp:lastModifiedBy>
  <cp:revision>4</cp:revision>
  <dcterms:created xsi:type="dcterms:W3CDTF">2024-04-22T15:52:00Z</dcterms:created>
  <dcterms:modified xsi:type="dcterms:W3CDTF">2024-04-23T08:02:00Z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